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18E7" w14:textId="201AC062" w:rsidR="003D6375" w:rsidRPr="00254072" w:rsidRDefault="0007278B" w:rsidP="003D6375">
      <w:pPr>
        <w:shd w:val="clear" w:color="auto" w:fill="FFFFFF"/>
        <w:spacing w:after="0" w:line="240" w:lineRule="auto"/>
        <w:ind w:firstLine="720"/>
        <w:jc w:val="center"/>
        <w:rPr>
          <w:rFonts w:ascii="Times New Roman" w:eastAsia="Times New Roman" w:hAnsi="Times New Roman" w:cs="Times New Roman"/>
          <w:b/>
          <w:bCs/>
          <w:sz w:val="28"/>
          <w:szCs w:val="24"/>
          <w:lang w:eastAsia="lv-LV"/>
        </w:rPr>
      </w:pPr>
      <w:r w:rsidRPr="003464D8">
        <w:rPr>
          <w:rFonts w:ascii="Times New Roman" w:hAnsi="Times New Roman" w:cs="Times New Roman"/>
          <w:b/>
          <w:sz w:val="28"/>
          <w:szCs w:val="28"/>
        </w:rPr>
        <w:t xml:space="preserve">Ministru kabineta noteikumu projekta </w:t>
      </w:r>
      <w:r w:rsidR="003464D8">
        <w:rPr>
          <w:rFonts w:ascii="Times New Roman" w:hAnsi="Times New Roman" w:cs="Times New Roman"/>
          <w:b/>
          <w:sz w:val="28"/>
          <w:szCs w:val="28"/>
        </w:rPr>
        <w:t>“</w:t>
      </w:r>
      <w:r w:rsidR="00E26E37" w:rsidRPr="003464D8">
        <w:rPr>
          <w:rFonts w:ascii="Times New Roman" w:hAnsi="Times New Roman" w:cs="Times New Roman"/>
          <w:b/>
          <w:sz w:val="28"/>
          <w:szCs w:val="28"/>
        </w:rPr>
        <w:t>Grozījumi Ministru kabineta 2005. gada 27. decembra noteikumos Nr. 1037 „Noteikumi par cilvēka asiņu un asins komponentu savākšanas, testēšanas, apstrādes, uzglabāšanas un izplatīšanas kvalitātes un drošības standartiem un kompensāciju par izdevumiem zaudētā asins apjoma atjaunošanai”</w:t>
      </w:r>
      <w:r w:rsidR="003464D8">
        <w:rPr>
          <w:rFonts w:ascii="Times New Roman" w:hAnsi="Times New Roman" w:cs="Times New Roman"/>
          <w:b/>
          <w:sz w:val="28"/>
          <w:szCs w:val="28"/>
        </w:rPr>
        <w:t xml:space="preserve"> </w:t>
      </w:r>
    </w:p>
    <w:p w14:paraId="2A1279EE" w14:textId="3D532121" w:rsidR="00BC7AB1" w:rsidRPr="00254072" w:rsidRDefault="00BC7AB1" w:rsidP="00BC7AB1">
      <w:pPr>
        <w:shd w:val="clear" w:color="auto" w:fill="FFFFFF"/>
        <w:spacing w:after="0" w:line="240" w:lineRule="auto"/>
        <w:ind w:firstLine="720"/>
        <w:jc w:val="center"/>
        <w:rPr>
          <w:rFonts w:ascii="Times New Roman" w:eastAsia="Times New Roman" w:hAnsi="Times New Roman" w:cs="Times New Roman"/>
          <w:b/>
          <w:bCs/>
          <w:sz w:val="28"/>
          <w:szCs w:val="24"/>
          <w:lang w:eastAsia="lv-LV"/>
        </w:rPr>
      </w:pPr>
      <w:r w:rsidRPr="00254072">
        <w:rPr>
          <w:rFonts w:ascii="Times New Roman" w:eastAsia="Times New Roman" w:hAnsi="Times New Roman" w:cs="Times New Roman"/>
          <w:b/>
          <w:bCs/>
          <w:sz w:val="28"/>
          <w:szCs w:val="24"/>
          <w:lang w:eastAsia="lv-LV"/>
        </w:rPr>
        <w:t>sākotnējās ietekmes novērtējuma ziņojums (anotācija)</w:t>
      </w:r>
    </w:p>
    <w:p w14:paraId="4A2AD5BB" w14:textId="77777777" w:rsidR="0007278B" w:rsidRPr="00696D8C" w:rsidRDefault="0007278B" w:rsidP="00AE4EFC">
      <w:pPr>
        <w:spacing w:after="0" w:line="240" w:lineRule="auto"/>
        <w:jc w:val="center"/>
        <w:rPr>
          <w:rFonts w:ascii="Times New Roman" w:eastAsia="Times New Roman" w:hAnsi="Times New Roman" w:cs="Times New Roman"/>
          <w:bCs/>
          <w:sz w:val="28"/>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122"/>
        <w:gridCol w:w="6939"/>
      </w:tblGrid>
      <w:tr w:rsidR="000E2322" w:rsidRPr="00696D8C" w14:paraId="3A6EBCB3" w14:textId="77777777" w:rsidTr="006A3F81">
        <w:tc>
          <w:tcPr>
            <w:tcW w:w="90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9ACB1B" w14:textId="77777777" w:rsidR="0007278B" w:rsidRPr="00696D8C" w:rsidRDefault="0007278B" w:rsidP="00AE4EFC">
            <w:pPr>
              <w:spacing w:after="0" w:line="240" w:lineRule="auto"/>
              <w:jc w:val="center"/>
              <w:rPr>
                <w:rFonts w:ascii="Times New Roman" w:eastAsia="Times New Roman" w:hAnsi="Times New Roman" w:cs="Times New Roman"/>
                <w:b/>
                <w:sz w:val="28"/>
                <w:szCs w:val="28"/>
              </w:rPr>
            </w:pPr>
            <w:r w:rsidRPr="00696D8C">
              <w:rPr>
                <w:rFonts w:ascii="Times New Roman" w:eastAsia="Times New Roman" w:hAnsi="Times New Roman" w:cs="Times New Roman"/>
                <w:b/>
                <w:sz w:val="28"/>
                <w:szCs w:val="28"/>
              </w:rPr>
              <w:t>Tiesību akta projekta anotācijas kopsavilkums</w:t>
            </w:r>
          </w:p>
        </w:tc>
      </w:tr>
      <w:tr w:rsidR="000E2322" w:rsidRPr="00696D8C" w14:paraId="205591AC" w14:textId="77777777" w:rsidTr="003C4D6D">
        <w:trPr>
          <w:trHeight w:val="3184"/>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16539B0" w14:textId="77777777" w:rsidR="003C4D6D" w:rsidRDefault="0007278B" w:rsidP="00AE4EFC">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 xml:space="preserve">Mērķis, risinājums un projekta spēkā stāšanās laiks </w:t>
            </w:r>
          </w:p>
          <w:p w14:paraId="4549FC77" w14:textId="0F71F233" w:rsidR="0007278B" w:rsidRPr="00696D8C" w:rsidRDefault="0007278B" w:rsidP="00AE4EFC">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(500 zīmes bez atstarpēm)</w:t>
            </w:r>
          </w:p>
        </w:tc>
        <w:tc>
          <w:tcPr>
            <w:tcW w:w="6939" w:type="dxa"/>
            <w:tcBorders>
              <w:top w:val="single" w:sz="4" w:space="0" w:color="auto"/>
              <w:left w:val="single" w:sz="4" w:space="0" w:color="auto"/>
              <w:bottom w:val="single" w:sz="4" w:space="0" w:color="auto"/>
              <w:right w:val="single" w:sz="4" w:space="0" w:color="auto"/>
            </w:tcBorders>
            <w:shd w:val="clear" w:color="auto" w:fill="FFFFFF"/>
            <w:hideMark/>
          </w:tcPr>
          <w:p w14:paraId="0A7AB3EF" w14:textId="447B1E6F" w:rsidR="00F30098" w:rsidRPr="00BC7AB1" w:rsidRDefault="003464D8" w:rsidP="003464D8">
            <w:pPr>
              <w:pStyle w:val="NormalWeb"/>
              <w:spacing w:before="0" w:beforeAutospacing="0" w:after="0" w:afterAutospacing="0"/>
              <w:jc w:val="both"/>
              <w:rPr>
                <w:bCs/>
                <w:sz w:val="28"/>
                <w:szCs w:val="28"/>
              </w:rPr>
            </w:pPr>
            <w:r w:rsidRPr="003464D8">
              <w:rPr>
                <w:bCs/>
                <w:sz w:val="28"/>
                <w:szCs w:val="28"/>
              </w:rPr>
              <w:t>Ministru kabineta noteikumu projekts “Grozījumi Ministru kabineta 2005. gada 27. decembra noteikumos Nr. 1037 „Noteikumi par cilvēka asiņu un asins komponentu savākšanas, testēšanas, apstrādes, uzglabāšanas un izplatīšanas kvalitātes un drošības standartiem un kompensāciju par izdevumiem zaudētā asins apjoma atjaunošanai”</w:t>
            </w:r>
            <w:r>
              <w:rPr>
                <w:bCs/>
                <w:sz w:val="28"/>
                <w:szCs w:val="28"/>
              </w:rPr>
              <w:t xml:space="preserve"> </w:t>
            </w:r>
            <w:r w:rsidR="00F30098" w:rsidRPr="00696D8C">
              <w:rPr>
                <w:bCs/>
                <w:sz w:val="28"/>
                <w:szCs w:val="28"/>
              </w:rPr>
              <w:t xml:space="preserve">(turpmāk </w:t>
            </w:r>
            <w:r w:rsidR="00B608AE" w:rsidRPr="00696D8C">
              <w:rPr>
                <w:bCs/>
                <w:sz w:val="28"/>
                <w:szCs w:val="28"/>
              </w:rPr>
              <w:t xml:space="preserve">– </w:t>
            </w:r>
            <w:r w:rsidR="00936E60">
              <w:rPr>
                <w:bCs/>
                <w:sz w:val="28"/>
                <w:szCs w:val="28"/>
              </w:rPr>
              <w:t>P</w:t>
            </w:r>
            <w:r w:rsidR="00F30098" w:rsidRPr="00696D8C">
              <w:rPr>
                <w:bCs/>
                <w:sz w:val="28"/>
                <w:szCs w:val="28"/>
              </w:rPr>
              <w:t xml:space="preserve">rojekts) mērķis ir </w:t>
            </w:r>
            <w:r w:rsidRPr="003464D8">
              <w:rPr>
                <w:bCs/>
                <w:sz w:val="28"/>
                <w:szCs w:val="28"/>
              </w:rPr>
              <w:t xml:space="preserve">pilnveidot tiesisko regulējumu un pilnīgāk pārņemt direktīvu </w:t>
            </w:r>
            <w:r w:rsidRPr="003464D8">
              <w:rPr>
                <w:sz w:val="28"/>
                <w:szCs w:val="28"/>
              </w:rPr>
              <w:t>prasības</w:t>
            </w:r>
            <w:r w:rsidRPr="003464D8">
              <w:rPr>
                <w:bCs/>
                <w:sz w:val="28"/>
                <w:szCs w:val="28"/>
              </w:rPr>
              <w:t xml:space="preserve"> attiecībā uz </w:t>
            </w:r>
            <w:r w:rsidRPr="003464D8">
              <w:rPr>
                <w:sz w:val="28"/>
                <w:szCs w:val="28"/>
              </w:rPr>
              <w:t>ārstniecības iestāžu organizēšanu un koordinēšanu apgādei ar kvalitātes prasībām atbilstošiem asins komponentiem un asins pagatavojumiem</w:t>
            </w:r>
            <w:r w:rsidR="003D6375">
              <w:rPr>
                <w:sz w:val="28"/>
                <w:szCs w:val="28"/>
              </w:rPr>
              <w:t xml:space="preserve">. </w:t>
            </w:r>
          </w:p>
        </w:tc>
      </w:tr>
    </w:tbl>
    <w:p w14:paraId="6DAAEE09" w14:textId="77777777" w:rsidR="0007278B" w:rsidRPr="00696D8C" w:rsidRDefault="0007278B" w:rsidP="00AE4EFC">
      <w:pPr>
        <w:spacing w:after="0" w:line="240" w:lineRule="auto"/>
        <w:jc w:val="both"/>
        <w:rPr>
          <w:rFonts w:ascii="Times New Roman" w:eastAsia="Times New Roman" w:hAnsi="Times New Roman" w:cs="Times New Roman"/>
          <w:bCs/>
          <w:sz w:val="28"/>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70"/>
        <w:gridCol w:w="2082"/>
        <w:gridCol w:w="6709"/>
      </w:tblGrid>
      <w:tr w:rsidR="000E2322" w:rsidRPr="00696D8C" w14:paraId="6CBE8600" w14:textId="77777777" w:rsidTr="009D7D59">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17ABD57" w14:textId="1160E90C" w:rsidR="0007278B" w:rsidRPr="00696D8C" w:rsidRDefault="0007278B" w:rsidP="00AE4EFC">
            <w:pPr>
              <w:spacing w:after="0" w:line="240" w:lineRule="auto"/>
              <w:jc w:val="center"/>
              <w:rPr>
                <w:rFonts w:ascii="Times New Roman" w:eastAsia="Times New Roman" w:hAnsi="Times New Roman" w:cs="Times New Roman"/>
                <w:b/>
                <w:sz w:val="28"/>
                <w:szCs w:val="28"/>
              </w:rPr>
            </w:pPr>
            <w:r w:rsidRPr="00696D8C">
              <w:rPr>
                <w:rFonts w:ascii="Times New Roman" w:eastAsia="Times New Roman" w:hAnsi="Times New Roman" w:cs="Times New Roman"/>
                <w:b/>
                <w:sz w:val="28"/>
                <w:szCs w:val="28"/>
              </w:rPr>
              <w:t>I.</w:t>
            </w:r>
            <w:r w:rsidR="00016372" w:rsidRPr="00696D8C">
              <w:rPr>
                <w:rFonts w:ascii="Times New Roman" w:eastAsia="Times New Roman" w:hAnsi="Times New Roman" w:cs="Times New Roman"/>
                <w:b/>
                <w:sz w:val="28"/>
                <w:szCs w:val="28"/>
              </w:rPr>
              <w:t> </w:t>
            </w:r>
            <w:r w:rsidRPr="00696D8C">
              <w:rPr>
                <w:rFonts w:ascii="Times New Roman" w:eastAsia="Times New Roman" w:hAnsi="Times New Roman" w:cs="Times New Roman"/>
                <w:b/>
                <w:sz w:val="28"/>
                <w:szCs w:val="28"/>
              </w:rPr>
              <w:t>Tiesību akta projekta izstrādes nepieciešamība</w:t>
            </w:r>
          </w:p>
        </w:tc>
      </w:tr>
      <w:tr w:rsidR="00BD50E2" w:rsidRPr="00696D8C" w14:paraId="0E093898" w14:textId="77777777" w:rsidTr="00E72C30">
        <w:trPr>
          <w:trHeight w:val="1144"/>
        </w:trPr>
        <w:tc>
          <w:tcPr>
            <w:tcW w:w="149" w:type="pct"/>
            <w:tcBorders>
              <w:top w:val="single" w:sz="4" w:space="0" w:color="auto"/>
              <w:left w:val="single" w:sz="4" w:space="0" w:color="auto"/>
              <w:bottom w:val="single" w:sz="4" w:space="0" w:color="auto"/>
              <w:right w:val="single" w:sz="4" w:space="0" w:color="auto"/>
            </w:tcBorders>
            <w:hideMark/>
          </w:tcPr>
          <w:p w14:paraId="64278E35" w14:textId="77777777" w:rsidR="0007278B" w:rsidRPr="00696D8C" w:rsidRDefault="0007278B" w:rsidP="00AE4EFC">
            <w:pPr>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1.</w:t>
            </w:r>
          </w:p>
        </w:tc>
        <w:tc>
          <w:tcPr>
            <w:tcW w:w="1149" w:type="pct"/>
            <w:tcBorders>
              <w:top w:val="single" w:sz="4" w:space="0" w:color="auto"/>
              <w:left w:val="single" w:sz="4" w:space="0" w:color="auto"/>
              <w:bottom w:val="single" w:sz="4" w:space="0" w:color="auto"/>
              <w:right w:val="single" w:sz="4" w:space="0" w:color="auto"/>
            </w:tcBorders>
            <w:hideMark/>
          </w:tcPr>
          <w:p w14:paraId="259B3899" w14:textId="77777777" w:rsidR="0007278B" w:rsidRPr="00696D8C" w:rsidRDefault="0007278B" w:rsidP="00AE4EFC">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Pamatojums</w:t>
            </w:r>
          </w:p>
          <w:p w14:paraId="5C8769C8" w14:textId="05BF5D6A" w:rsidR="00154080" w:rsidRPr="00696D8C" w:rsidRDefault="00154080" w:rsidP="00F30098">
            <w:pPr>
              <w:rPr>
                <w:rFonts w:ascii="Times New Roman" w:eastAsia="Times New Roman" w:hAnsi="Times New Roman" w:cs="Times New Roman"/>
                <w:sz w:val="28"/>
                <w:szCs w:val="28"/>
              </w:rPr>
            </w:pPr>
          </w:p>
        </w:tc>
        <w:tc>
          <w:tcPr>
            <w:tcW w:w="3702" w:type="pct"/>
            <w:tcBorders>
              <w:top w:val="single" w:sz="4" w:space="0" w:color="auto"/>
              <w:left w:val="single" w:sz="4" w:space="0" w:color="auto"/>
              <w:bottom w:val="single" w:sz="4" w:space="0" w:color="auto"/>
              <w:right w:val="single" w:sz="4" w:space="0" w:color="auto"/>
            </w:tcBorders>
          </w:tcPr>
          <w:p w14:paraId="4F9E7C09" w14:textId="16D2B765" w:rsidR="009B775D" w:rsidRPr="00E72C30" w:rsidRDefault="00E72C30" w:rsidP="00E72C30">
            <w:pPr>
              <w:spacing w:after="0" w:line="240" w:lineRule="auto"/>
              <w:jc w:val="both"/>
              <w:rPr>
                <w:rFonts w:ascii="Times New Roman" w:eastAsia="Calibri" w:hAnsi="Times New Roman" w:cs="Times New Roman"/>
                <w:sz w:val="28"/>
                <w:szCs w:val="28"/>
              </w:rPr>
            </w:pPr>
            <w:r w:rsidRPr="00E72C30">
              <w:rPr>
                <w:rFonts w:ascii="Times New Roman" w:eastAsia="Calibri" w:hAnsi="Times New Roman" w:cs="Times New Roman"/>
                <w:sz w:val="28"/>
                <w:szCs w:val="28"/>
              </w:rPr>
              <w:t>Izdoti saskaņā ar Ārstniecības</w:t>
            </w:r>
            <w:r>
              <w:rPr>
                <w:rFonts w:ascii="Times New Roman" w:eastAsia="Calibri" w:hAnsi="Times New Roman" w:cs="Times New Roman"/>
                <w:sz w:val="28"/>
                <w:szCs w:val="28"/>
              </w:rPr>
              <w:t xml:space="preserve"> </w:t>
            </w:r>
            <w:r w:rsidRPr="00E72C30">
              <w:rPr>
                <w:rFonts w:ascii="Times New Roman" w:eastAsia="Calibri" w:hAnsi="Times New Roman" w:cs="Times New Roman"/>
                <w:sz w:val="28"/>
                <w:szCs w:val="28"/>
              </w:rPr>
              <w:t>likuma 34. panta trešo daļu</w:t>
            </w:r>
            <w:r>
              <w:rPr>
                <w:rFonts w:ascii="Times New Roman" w:eastAsia="Calibri" w:hAnsi="Times New Roman" w:cs="Times New Roman"/>
                <w:sz w:val="28"/>
                <w:szCs w:val="28"/>
              </w:rPr>
              <w:t xml:space="preserve">, kā arī, atbilstoši </w:t>
            </w:r>
            <w:r w:rsidR="009B775D" w:rsidRPr="00E72C30">
              <w:rPr>
                <w:rFonts w:ascii="Times New Roman" w:hAnsi="Times New Roman" w:cs="Times New Roman"/>
                <w:sz w:val="28"/>
                <w:szCs w:val="28"/>
              </w:rPr>
              <w:t>Veselības ministrijas iniciatīva</w:t>
            </w:r>
            <w:r>
              <w:rPr>
                <w:rFonts w:ascii="Times New Roman" w:hAnsi="Times New Roman" w:cs="Times New Roman"/>
                <w:sz w:val="28"/>
                <w:szCs w:val="28"/>
              </w:rPr>
              <w:t>i, pamatojoties uz Valsts asinsdonoru centra (turpmāk – VADC) un Zāļu valsts aģentūras (turpmāk – ZVA) sniegtajiem priekšlikumiem.</w:t>
            </w:r>
          </w:p>
        </w:tc>
      </w:tr>
      <w:tr w:rsidR="00E72C30" w:rsidRPr="00696D8C" w14:paraId="44CA8137" w14:textId="77777777" w:rsidTr="00E72C30">
        <w:trPr>
          <w:trHeight w:val="1393"/>
        </w:trPr>
        <w:tc>
          <w:tcPr>
            <w:tcW w:w="149" w:type="pct"/>
            <w:tcBorders>
              <w:top w:val="single" w:sz="4" w:space="0" w:color="auto"/>
              <w:left w:val="single" w:sz="4" w:space="0" w:color="auto"/>
              <w:bottom w:val="single" w:sz="4" w:space="0" w:color="auto"/>
              <w:right w:val="single" w:sz="4" w:space="0" w:color="auto"/>
            </w:tcBorders>
            <w:hideMark/>
          </w:tcPr>
          <w:p w14:paraId="12CCD219" w14:textId="77777777" w:rsidR="00E72C30" w:rsidRPr="00696D8C" w:rsidRDefault="00E72C30" w:rsidP="00E72C30">
            <w:pPr>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2.</w:t>
            </w:r>
          </w:p>
        </w:tc>
        <w:tc>
          <w:tcPr>
            <w:tcW w:w="1149" w:type="pct"/>
            <w:tcBorders>
              <w:top w:val="single" w:sz="4" w:space="0" w:color="auto"/>
              <w:left w:val="single" w:sz="4" w:space="0" w:color="auto"/>
              <w:bottom w:val="single" w:sz="4" w:space="0" w:color="auto"/>
              <w:right w:val="single" w:sz="4" w:space="0" w:color="auto"/>
            </w:tcBorders>
            <w:hideMark/>
          </w:tcPr>
          <w:p w14:paraId="6D224467" w14:textId="77777777" w:rsidR="00E72C30" w:rsidRDefault="00E72C30" w:rsidP="00E72C30">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Pašreizējā situācija un problēmas, kuru risināšanai tiesību akta projekts izstrādāts, tiesiskā regulējuma mērķis un būtība</w:t>
            </w:r>
          </w:p>
          <w:p w14:paraId="63A70CBF" w14:textId="77777777" w:rsidR="00CB6810" w:rsidRPr="00CB6810" w:rsidRDefault="00CB6810" w:rsidP="00CB6810">
            <w:pPr>
              <w:rPr>
                <w:rFonts w:ascii="Times New Roman" w:eastAsia="Times New Roman" w:hAnsi="Times New Roman" w:cs="Times New Roman"/>
                <w:sz w:val="28"/>
                <w:szCs w:val="28"/>
              </w:rPr>
            </w:pPr>
          </w:p>
          <w:p w14:paraId="2B9BD025" w14:textId="77777777" w:rsidR="00CB6810" w:rsidRPr="00CB6810" w:rsidRDefault="00CB6810" w:rsidP="00CB6810">
            <w:pPr>
              <w:rPr>
                <w:rFonts w:ascii="Times New Roman" w:eastAsia="Times New Roman" w:hAnsi="Times New Roman" w:cs="Times New Roman"/>
                <w:sz w:val="28"/>
                <w:szCs w:val="28"/>
              </w:rPr>
            </w:pPr>
          </w:p>
          <w:p w14:paraId="1CA5B6A4" w14:textId="77777777" w:rsidR="00CB6810" w:rsidRPr="00CB6810" w:rsidRDefault="00CB6810" w:rsidP="00CB6810">
            <w:pPr>
              <w:rPr>
                <w:rFonts w:ascii="Times New Roman" w:eastAsia="Times New Roman" w:hAnsi="Times New Roman" w:cs="Times New Roman"/>
                <w:sz w:val="28"/>
                <w:szCs w:val="28"/>
              </w:rPr>
            </w:pPr>
          </w:p>
          <w:p w14:paraId="1FA63B5F" w14:textId="77777777" w:rsidR="00CB6810" w:rsidRPr="00CB6810" w:rsidRDefault="00CB6810" w:rsidP="00CB6810">
            <w:pPr>
              <w:rPr>
                <w:rFonts w:ascii="Times New Roman" w:eastAsia="Times New Roman" w:hAnsi="Times New Roman" w:cs="Times New Roman"/>
                <w:sz w:val="28"/>
                <w:szCs w:val="28"/>
              </w:rPr>
            </w:pPr>
          </w:p>
          <w:p w14:paraId="0F5D157C" w14:textId="77777777" w:rsidR="00CB6810" w:rsidRDefault="00CB6810" w:rsidP="00CB6810">
            <w:pPr>
              <w:rPr>
                <w:rFonts w:ascii="Times New Roman" w:eastAsia="Times New Roman" w:hAnsi="Times New Roman" w:cs="Times New Roman"/>
                <w:bCs/>
                <w:sz w:val="28"/>
                <w:szCs w:val="28"/>
              </w:rPr>
            </w:pPr>
          </w:p>
          <w:p w14:paraId="0F8281CA" w14:textId="4740788A" w:rsidR="00CB6810" w:rsidRPr="00CB6810" w:rsidRDefault="00CB6810" w:rsidP="00CB6810">
            <w:pPr>
              <w:jc w:val="right"/>
              <w:rPr>
                <w:rFonts w:ascii="Times New Roman" w:eastAsia="Times New Roman" w:hAnsi="Times New Roman" w:cs="Times New Roman"/>
                <w:sz w:val="28"/>
                <w:szCs w:val="28"/>
              </w:rPr>
            </w:pPr>
          </w:p>
        </w:tc>
        <w:tc>
          <w:tcPr>
            <w:tcW w:w="3702" w:type="pct"/>
            <w:tcBorders>
              <w:top w:val="single" w:sz="4" w:space="0" w:color="auto"/>
              <w:left w:val="single" w:sz="4" w:space="0" w:color="auto"/>
              <w:bottom w:val="single" w:sz="4" w:space="0" w:color="auto"/>
              <w:right w:val="single" w:sz="4" w:space="0" w:color="auto"/>
            </w:tcBorders>
          </w:tcPr>
          <w:p w14:paraId="08F1A89B" w14:textId="5EBD110D" w:rsidR="00BC7AB1" w:rsidRDefault="00BC7AB1" w:rsidP="00A53396">
            <w:pPr>
              <w:pStyle w:val="NormalWeb"/>
              <w:spacing w:before="0" w:beforeAutospacing="0" w:after="120" w:afterAutospacing="0"/>
              <w:ind w:left="176" w:right="74"/>
              <w:jc w:val="both"/>
              <w:rPr>
                <w:bCs/>
                <w:sz w:val="28"/>
                <w:szCs w:val="28"/>
              </w:rPr>
            </w:pPr>
            <w:r>
              <w:rPr>
                <w:bCs/>
                <w:sz w:val="28"/>
                <w:szCs w:val="28"/>
              </w:rPr>
              <w:lastRenderedPageBreak/>
              <w:t xml:space="preserve">      1. </w:t>
            </w:r>
            <w:r w:rsidR="00E72C30" w:rsidRPr="00267203">
              <w:rPr>
                <w:bCs/>
                <w:sz w:val="28"/>
                <w:szCs w:val="28"/>
              </w:rPr>
              <w:t xml:space="preserve">Lai nodrošinātu Ministru kabineta 2005. gada 27. decembra noteikumu Nr. 1037 </w:t>
            </w:r>
            <w:r w:rsidR="00E72C30" w:rsidRPr="004E0D0E">
              <w:rPr>
                <w:bCs/>
                <w:sz w:val="28"/>
                <w:szCs w:val="28"/>
              </w:rPr>
              <w:t>„Noteikumi par cilvēka asiņu un asins komponentu savākšanas, testēšanas, apstrādes, uzglabāšanas un izplatīšanas kvalitātes un drošības standartiem un kompensāciju par izdevumiem zaudētā asins apjoma atjaunošanai”</w:t>
            </w:r>
            <w:r w:rsidR="00E72C30" w:rsidRPr="00267203">
              <w:rPr>
                <w:bCs/>
                <w:sz w:val="28"/>
                <w:szCs w:val="28"/>
              </w:rPr>
              <w:t xml:space="preserve"> (turpmāk - Noteikumi) noteikto prasību precīz</w:t>
            </w:r>
            <w:r w:rsidR="004E0D0E">
              <w:rPr>
                <w:bCs/>
                <w:sz w:val="28"/>
                <w:szCs w:val="28"/>
              </w:rPr>
              <w:t>āku</w:t>
            </w:r>
            <w:r w:rsidR="00E72C30" w:rsidRPr="00267203">
              <w:rPr>
                <w:bCs/>
                <w:sz w:val="28"/>
                <w:szCs w:val="28"/>
              </w:rPr>
              <w:t xml:space="preserve"> atbilstību Eiropas Parlamenta un Padomes 2003.</w:t>
            </w:r>
            <w:r w:rsidR="004E0D0E">
              <w:rPr>
                <w:bCs/>
                <w:sz w:val="28"/>
                <w:szCs w:val="28"/>
              </w:rPr>
              <w:t xml:space="preserve"> </w:t>
            </w:r>
            <w:r w:rsidR="00E72C30" w:rsidRPr="00267203">
              <w:rPr>
                <w:bCs/>
                <w:sz w:val="28"/>
                <w:szCs w:val="28"/>
              </w:rPr>
              <w:t>gada 27.</w:t>
            </w:r>
            <w:r w:rsidR="004E0D0E">
              <w:rPr>
                <w:bCs/>
                <w:sz w:val="28"/>
                <w:szCs w:val="28"/>
              </w:rPr>
              <w:t xml:space="preserve"> </w:t>
            </w:r>
            <w:r w:rsidR="00E72C30" w:rsidRPr="00267203">
              <w:rPr>
                <w:bCs/>
                <w:sz w:val="28"/>
                <w:szCs w:val="28"/>
              </w:rPr>
              <w:t>janvāra Direktīvā 2002/98/EK, ar kuru nosaka savākšanas, testēšanas, apstrādes, uzglabāšanas un izplatīšanas kvalitātes un drošības standartus cilvēka asinīm un asins komponentiem, kā arī groza Direktīvu 2001/83/EK (turpmāk - Direktīva 2002/98/EK), Noteikum</w:t>
            </w:r>
            <w:r w:rsidR="004E0D0E">
              <w:rPr>
                <w:bCs/>
                <w:sz w:val="28"/>
                <w:szCs w:val="28"/>
              </w:rPr>
              <w:t>i</w:t>
            </w:r>
            <w:r w:rsidR="00E72C30" w:rsidRPr="00267203">
              <w:rPr>
                <w:bCs/>
                <w:sz w:val="28"/>
                <w:szCs w:val="28"/>
              </w:rPr>
              <w:t xml:space="preserve"> Nr. 1037,</w:t>
            </w:r>
            <w:r w:rsidR="00E72C30" w:rsidRPr="00267203">
              <w:rPr>
                <w:bCs/>
                <w:color w:val="000000" w:themeColor="text1"/>
                <w:sz w:val="28"/>
                <w:szCs w:val="28"/>
              </w:rPr>
              <w:t xml:space="preserve"> </w:t>
            </w:r>
            <w:r w:rsidR="004E0D0E">
              <w:rPr>
                <w:bCs/>
                <w:color w:val="000000" w:themeColor="text1"/>
                <w:sz w:val="28"/>
                <w:szCs w:val="28"/>
              </w:rPr>
              <w:t>tiek papildināti ar</w:t>
            </w:r>
            <w:r w:rsidR="00E72C30" w:rsidRPr="00267203">
              <w:rPr>
                <w:bCs/>
                <w:sz w:val="28"/>
                <w:szCs w:val="28"/>
              </w:rPr>
              <w:t xml:space="preserve"> jaunu 1</w:t>
            </w:r>
            <w:r w:rsidR="004E0D0E">
              <w:rPr>
                <w:bCs/>
                <w:sz w:val="28"/>
                <w:szCs w:val="28"/>
              </w:rPr>
              <w:t>.</w:t>
            </w:r>
            <w:r w:rsidR="00E72C30" w:rsidRPr="00267203">
              <w:rPr>
                <w:bCs/>
                <w:sz w:val="28"/>
                <w:szCs w:val="28"/>
                <w:vertAlign w:val="superscript"/>
              </w:rPr>
              <w:t xml:space="preserve">1 </w:t>
            </w:r>
            <w:r w:rsidR="00E72C30" w:rsidRPr="00267203">
              <w:rPr>
                <w:bCs/>
                <w:sz w:val="28"/>
                <w:szCs w:val="28"/>
              </w:rPr>
              <w:t xml:space="preserve">punktu, </w:t>
            </w:r>
            <w:r w:rsidR="004E0D0E">
              <w:rPr>
                <w:bCs/>
                <w:sz w:val="28"/>
                <w:szCs w:val="28"/>
              </w:rPr>
              <w:t>ievērojot</w:t>
            </w:r>
            <w:r w:rsidR="00E72C30" w:rsidRPr="00267203">
              <w:rPr>
                <w:bCs/>
                <w:sz w:val="28"/>
                <w:szCs w:val="28"/>
              </w:rPr>
              <w:t xml:space="preserve"> Direktīva</w:t>
            </w:r>
            <w:r w:rsidR="004E0D0E">
              <w:rPr>
                <w:bCs/>
                <w:sz w:val="28"/>
                <w:szCs w:val="28"/>
              </w:rPr>
              <w:t>s</w:t>
            </w:r>
            <w:r w:rsidR="00E72C30" w:rsidRPr="00267203">
              <w:rPr>
                <w:bCs/>
                <w:sz w:val="28"/>
                <w:szCs w:val="28"/>
              </w:rPr>
              <w:t xml:space="preserve"> 2002/98/EK 3.</w:t>
            </w:r>
            <w:r w:rsidR="004E0D0E">
              <w:rPr>
                <w:bCs/>
                <w:sz w:val="28"/>
                <w:szCs w:val="28"/>
              </w:rPr>
              <w:t xml:space="preserve"> </w:t>
            </w:r>
            <w:r w:rsidR="00E72C30" w:rsidRPr="00267203">
              <w:rPr>
                <w:bCs/>
                <w:sz w:val="28"/>
                <w:szCs w:val="28"/>
              </w:rPr>
              <w:t xml:space="preserve">panta e) </w:t>
            </w:r>
            <w:r w:rsidR="004E0D0E">
              <w:rPr>
                <w:bCs/>
                <w:sz w:val="28"/>
                <w:szCs w:val="28"/>
              </w:rPr>
              <w:t xml:space="preserve">apakšpunktā noteikto asinsdonoru centra definīciju </w:t>
            </w:r>
            <w:r w:rsidR="004E0D0E" w:rsidRPr="004E0D0E">
              <w:rPr>
                <w:bCs/>
                <w:i/>
                <w:iCs/>
                <w:sz w:val="28"/>
                <w:szCs w:val="28"/>
              </w:rPr>
              <w:t>(</w:t>
            </w:r>
            <w:r w:rsidR="004E0D0E" w:rsidRPr="004E0D0E">
              <w:rPr>
                <w:i/>
                <w:iCs/>
                <w:sz w:val="28"/>
                <w:szCs w:val="28"/>
              </w:rPr>
              <w:t xml:space="preserve">“asinsdonoru centrs” ir struktūra vai iestāde, kas ir atbildīga par visiem cilvēka asiņu vai asins komponentu savākšanas un testēšanas aspektiem </w:t>
            </w:r>
            <w:r w:rsidR="004E0D0E" w:rsidRPr="004E0D0E">
              <w:rPr>
                <w:i/>
                <w:iCs/>
                <w:sz w:val="28"/>
                <w:szCs w:val="28"/>
              </w:rPr>
              <w:lastRenderedPageBreak/>
              <w:t>neatkarīgi no to paredzētās lietošanas, kā arī par to apstrādi, uzglabāšanu un izplatīšanu, ja tie paredzēti asins pārliešanai</w:t>
            </w:r>
            <w:r w:rsidR="00E72C30" w:rsidRPr="004E0D0E">
              <w:rPr>
                <w:bCs/>
                <w:i/>
                <w:iCs/>
                <w:sz w:val="28"/>
                <w:szCs w:val="28"/>
              </w:rPr>
              <w:t>)</w:t>
            </w:r>
            <w:r w:rsidR="00E72C30" w:rsidRPr="00267203">
              <w:rPr>
                <w:bCs/>
                <w:sz w:val="28"/>
                <w:szCs w:val="28"/>
              </w:rPr>
              <w:t xml:space="preserve"> </w:t>
            </w:r>
            <w:r w:rsidR="004E0D0E">
              <w:rPr>
                <w:bCs/>
                <w:sz w:val="28"/>
                <w:szCs w:val="28"/>
              </w:rPr>
              <w:t xml:space="preserve">un </w:t>
            </w:r>
            <w:r w:rsidR="00E72C30" w:rsidRPr="00267203">
              <w:rPr>
                <w:sz w:val="28"/>
                <w:szCs w:val="28"/>
              </w:rPr>
              <w:t>f) apakšpunkt</w:t>
            </w:r>
            <w:r w:rsidR="004E0D0E">
              <w:rPr>
                <w:sz w:val="28"/>
                <w:szCs w:val="28"/>
              </w:rPr>
              <w:t>ā</w:t>
            </w:r>
            <w:r w:rsidR="00E72C30" w:rsidRPr="00267203">
              <w:rPr>
                <w:sz w:val="28"/>
                <w:szCs w:val="28"/>
              </w:rPr>
              <w:t xml:space="preserve"> no</w:t>
            </w:r>
            <w:r w:rsidR="004E0D0E">
              <w:rPr>
                <w:sz w:val="28"/>
                <w:szCs w:val="28"/>
              </w:rPr>
              <w:t xml:space="preserve">teikto slimnīcas asins bankas definīciju </w:t>
            </w:r>
            <w:r w:rsidR="004E0D0E" w:rsidRPr="004E0D0E">
              <w:rPr>
                <w:i/>
                <w:iCs/>
                <w:sz w:val="28"/>
                <w:szCs w:val="28"/>
              </w:rPr>
              <w:t>(“</w:t>
            </w:r>
            <w:r w:rsidR="00E72C30" w:rsidRPr="004E0D0E">
              <w:rPr>
                <w:i/>
                <w:iCs/>
                <w:sz w:val="28"/>
                <w:szCs w:val="28"/>
              </w:rPr>
              <w:t>slimnīcas asins banka</w:t>
            </w:r>
            <w:r w:rsidR="004E0D0E" w:rsidRPr="004E0D0E">
              <w:rPr>
                <w:i/>
                <w:iCs/>
                <w:sz w:val="28"/>
                <w:szCs w:val="28"/>
              </w:rPr>
              <w:t>”</w:t>
            </w:r>
            <w:r w:rsidR="00E72C30" w:rsidRPr="004E0D0E">
              <w:rPr>
                <w:i/>
                <w:iCs/>
                <w:sz w:val="28"/>
                <w:szCs w:val="28"/>
              </w:rPr>
              <w:t xml:space="preserve"> ir slimnīcas struktūrvienība, kas uzglabā un izplata asinis un asins komponentus, kas paredzēti lietošanai tikai slimnīcas telpās, un var veikt to saderības testus, tostarp ar asins pārliešanu saistītas darbības, ko izdara slimnīcā</w:t>
            </w:r>
            <w:r w:rsidR="004E0D0E">
              <w:rPr>
                <w:i/>
                <w:iCs/>
                <w:sz w:val="28"/>
                <w:szCs w:val="28"/>
              </w:rPr>
              <w:t>)</w:t>
            </w:r>
            <w:r w:rsidR="00E72C30" w:rsidRPr="00267203">
              <w:rPr>
                <w:sz w:val="28"/>
                <w:szCs w:val="28"/>
              </w:rPr>
              <w:t xml:space="preserve">. Nostiprinot </w:t>
            </w:r>
            <w:r w:rsidR="00E72C30" w:rsidRPr="00267203">
              <w:rPr>
                <w:bCs/>
                <w:sz w:val="28"/>
                <w:szCs w:val="28"/>
              </w:rPr>
              <w:t>terminu ,,asins dienests</w:t>
            </w:r>
            <w:r w:rsidR="004E0D0E">
              <w:rPr>
                <w:bCs/>
                <w:sz w:val="28"/>
                <w:szCs w:val="28"/>
              </w:rPr>
              <w:t>”</w:t>
            </w:r>
            <w:r w:rsidR="00E72C30" w:rsidRPr="00267203">
              <w:rPr>
                <w:bCs/>
                <w:sz w:val="28"/>
                <w:szCs w:val="28"/>
              </w:rPr>
              <w:t xml:space="preserve"> tiek   izmantoti abās definīcijās noteiktie iestādes un struktūru apzīmējumi un formulējumi un integrēts to noteiktais saturs un jēga, tādējādi nodrošinot vienotus kvalitātes un drošības standartus attiecībā uz cilvēka asins un asins komponentu savākšanu, testēšanu, apstrādi, uzglabāšanu un izplatīšanu ar nolūku pastiprināt Valsts asinsdonoru centra (turpmāk - VADC) kā vadošās iestādes lomu</w:t>
            </w:r>
            <w:r w:rsidR="00364857">
              <w:rPr>
                <w:bCs/>
                <w:sz w:val="28"/>
                <w:szCs w:val="28"/>
              </w:rPr>
              <w:t xml:space="preserve"> </w:t>
            </w:r>
            <w:r w:rsidR="00364857" w:rsidRPr="00364857">
              <w:rPr>
                <w:bCs/>
                <w:i/>
                <w:iCs/>
                <w:sz w:val="28"/>
                <w:szCs w:val="28"/>
              </w:rPr>
              <w:t>(Projekta 1. punkts)</w:t>
            </w:r>
            <w:r w:rsidR="00E72C30" w:rsidRPr="00364857">
              <w:rPr>
                <w:bCs/>
                <w:i/>
                <w:iCs/>
                <w:sz w:val="28"/>
                <w:szCs w:val="28"/>
              </w:rPr>
              <w:t>.</w:t>
            </w:r>
          </w:p>
          <w:p w14:paraId="12E5AE36" w14:textId="5DE2741C" w:rsidR="009C59BA" w:rsidRPr="001C300A" w:rsidRDefault="00BC7AB1" w:rsidP="001C300A">
            <w:pPr>
              <w:spacing w:after="0" w:line="240" w:lineRule="auto"/>
              <w:jc w:val="both"/>
              <w:textAlignment w:val="baseline"/>
              <w:rPr>
                <w:rFonts w:ascii="Times New Roman" w:eastAsia="Times New Roman" w:hAnsi="Times New Roman" w:cs="Times New Roman"/>
                <w:sz w:val="28"/>
                <w:szCs w:val="28"/>
                <w:lang w:eastAsia="lv-LV"/>
              </w:rPr>
            </w:pPr>
            <w:r>
              <w:rPr>
                <w:bCs/>
                <w:sz w:val="28"/>
                <w:szCs w:val="28"/>
              </w:rPr>
              <w:t xml:space="preserve">       </w:t>
            </w:r>
            <w:r w:rsidR="00E72C30" w:rsidRPr="00F55E92">
              <w:rPr>
                <w:rFonts w:ascii="Times New Roman" w:hAnsi="Times New Roman" w:cs="Times New Roman"/>
                <w:sz w:val="28"/>
                <w:szCs w:val="28"/>
              </w:rPr>
              <w:t>2.</w:t>
            </w:r>
            <w:r w:rsidRPr="00F55E92">
              <w:rPr>
                <w:rFonts w:ascii="Times New Roman" w:hAnsi="Times New Roman" w:cs="Times New Roman"/>
                <w:sz w:val="28"/>
                <w:szCs w:val="28"/>
              </w:rPr>
              <w:t xml:space="preserve"> Noteikumu</w:t>
            </w:r>
            <w:r w:rsidR="00E72C30" w:rsidRPr="00F55E92">
              <w:rPr>
                <w:rFonts w:ascii="Times New Roman" w:hAnsi="Times New Roman" w:cs="Times New Roman"/>
                <w:sz w:val="28"/>
                <w:szCs w:val="28"/>
              </w:rPr>
              <w:t xml:space="preserve"> Nr.</w:t>
            </w:r>
            <w:r w:rsidR="00F3232E" w:rsidRPr="00F55E92">
              <w:rPr>
                <w:rFonts w:ascii="Times New Roman" w:hAnsi="Times New Roman" w:cs="Times New Roman"/>
                <w:sz w:val="28"/>
                <w:szCs w:val="28"/>
              </w:rPr>
              <w:t xml:space="preserve"> </w:t>
            </w:r>
            <w:r w:rsidR="00E72C30" w:rsidRPr="00F55E92">
              <w:rPr>
                <w:rFonts w:ascii="Times New Roman" w:hAnsi="Times New Roman" w:cs="Times New Roman"/>
                <w:sz w:val="28"/>
                <w:szCs w:val="28"/>
              </w:rPr>
              <w:t>1037 6</w:t>
            </w:r>
            <w:r w:rsidRPr="00F55E92">
              <w:rPr>
                <w:rFonts w:ascii="Times New Roman" w:hAnsi="Times New Roman" w:cs="Times New Roman"/>
                <w:sz w:val="28"/>
                <w:szCs w:val="28"/>
              </w:rPr>
              <w:t>.</w:t>
            </w:r>
            <w:r w:rsidR="00E72C30" w:rsidRPr="00F55E92">
              <w:rPr>
                <w:rFonts w:ascii="Times New Roman" w:hAnsi="Times New Roman" w:cs="Times New Roman"/>
                <w:sz w:val="28"/>
                <w:szCs w:val="28"/>
                <w:vertAlign w:val="superscript"/>
              </w:rPr>
              <w:t>1</w:t>
            </w:r>
            <w:r w:rsidR="00E72C30" w:rsidRPr="00F55E92">
              <w:rPr>
                <w:rFonts w:ascii="Times New Roman" w:hAnsi="Times New Roman" w:cs="Times New Roman"/>
                <w:sz w:val="28"/>
                <w:szCs w:val="28"/>
              </w:rPr>
              <w:t xml:space="preserve"> </w:t>
            </w:r>
            <w:r w:rsidR="00F3232E" w:rsidRPr="00F55E92">
              <w:rPr>
                <w:rFonts w:ascii="Times New Roman" w:hAnsi="Times New Roman" w:cs="Times New Roman"/>
                <w:sz w:val="28"/>
                <w:szCs w:val="28"/>
              </w:rPr>
              <w:t xml:space="preserve">punktā </w:t>
            </w:r>
            <w:r w:rsidRPr="00F55E92">
              <w:rPr>
                <w:rFonts w:ascii="Times New Roman" w:hAnsi="Times New Roman" w:cs="Times New Roman"/>
                <w:sz w:val="28"/>
                <w:szCs w:val="28"/>
              </w:rPr>
              <w:t xml:space="preserve">ir </w:t>
            </w:r>
            <w:r w:rsidR="00E72C30" w:rsidRPr="00F55E92">
              <w:rPr>
                <w:rFonts w:ascii="Times New Roman" w:hAnsi="Times New Roman" w:cs="Times New Roman"/>
                <w:sz w:val="28"/>
                <w:szCs w:val="28"/>
              </w:rPr>
              <w:t>no</w:t>
            </w:r>
            <w:r w:rsidRPr="00F55E92">
              <w:rPr>
                <w:rFonts w:ascii="Times New Roman" w:hAnsi="Times New Roman" w:cs="Times New Roman"/>
                <w:sz w:val="28"/>
                <w:szCs w:val="28"/>
              </w:rPr>
              <w:t>teikts</w:t>
            </w:r>
            <w:r w:rsidR="00E72C30" w:rsidRPr="00F55E92">
              <w:rPr>
                <w:rFonts w:ascii="Times New Roman" w:hAnsi="Times New Roman" w:cs="Times New Roman"/>
                <w:sz w:val="28"/>
                <w:szCs w:val="28"/>
              </w:rPr>
              <w:t xml:space="preserve">, </w:t>
            </w:r>
            <w:r w:rsidRPr="00F55E92">
              <w:rPr>
                <w:rFonts w:ascii="Times New Roman" w:hAnsi="Times New Roman" w:cs="Times New Roman"/>
                <w:sz w:val="28"/>
                <w:szCs w:val="28"/>
              </w:rPr>
              <w:t xml:space="preserve">ka gadījumā, </w:t>
            </w:r>
            <w:r w:rsidR="00E72C30" w:rsidRPr="00F55E92">
              <w:rPr>
                <w:rFonts w:ascii="Times New Roman" w:hAnsi="Times New Roman" w:cs="Times New Roman"/>
                <w:sz w:val="28"/>
                <w:szCs w:val="28"/>
              </w:rPr>
              <w:t xml:space="preserve">ja donoram tiek apstiprināts asins transmisīvo slimību pozitīvs izmeklēšanas rezultāts, kā arī šo slimību transmisijas gadījumā, hemovigilances ietvaros tiek veikta retrospektīvā izmeklēšana. </w:t>
            </w:r>
            <w:r w:rsidR="00F3232E" w:rsidRPr="00F55E92">
              <w:rPr>
                <w:rFonts w:ascii="Times New Roman" w:hAnsi="Times New Roman" w:cs="Times New Roman"/>
                <w:sz w:val="28"/>
                <w:szCs w:val="28"/>
              </w:rPr>
              <w:t>Pamatojoties uz Noteikumu Nr. 1037 1.</w:t>
            </w:r>
            <w:r w:rsidR="00F3232E" w:rsidRPr="00F55E92">
              <w:rPr>
                <w:rFonts w:ascii="Times New Roman" w:hAnsi="Times New Roman" w:cs="Times New Roman"/>
                <w:sz w:val="28"/>
                <w:szCs w:val="28"/>
                <w:vertAlign w:val="superscript"/>
              </w:rPr>
              <w:t xml:space="preserve">1 </w:t>
            </w:r>
            <w:r w:rsidR="00F3232E" w:rsidRPr="00F55E92">
              <w:rPr>
                <w:rFonts w:ascii="Times New Roman" w:hAnsi="Times New Roman" w:cs="Times New Roman"/>
                <w:sz w:val="28"/>
                <w:szCs w:val="28"/>
              </w:rPr>
              <w:t xml:space="preserve">punktā paredzamajām izmaiņām, </w:t>
            </w:r>
            <w:r w:rsidR="00867A7B" w:rsidRPr="00F55E92">
              <w:rPr>
                <w:rFonts w:ascii="Times New Roman" w:hAnsi="Times New Roman" w:cs="Times New Roman"/>
                <w:sz w:val="28"/>
                <w:szCs w:val="28"/>
              </w:rPr>
              <w:t>kas nosaka</w:t>
            </w:r>
            <w:r w:rsidR="00F3232E" w:rsidRPr="00F55E92">
              <w:rPr>
                <w:rFonts w:ascii="Times New Roman" w:hAnsi="Times New Roman" w:cs="Times New Roman"/>
                <w:sz w:val="28"/>
                <w:szCs w:val="28"/>
              </w:rPr>
              <w:t xml:space="preserve">, ka </w:t>
            </w:r>
            <w:r w:rsidR="00F3232E" w:rsidRPr="00F55E92">
              <w:rPr>
                <w:rFonts w:ascii="Times New Roman" w:hAnsi="Times New Roman" w:cs="Times New Roman"/>
                <w:sz w:val="28"/>
                <w:szCs w:val="28"/>
                <w:vertAlign w:val="superscript"/>
              </w:rPr>
              <w:t xml:space="preserve"> </w:t>
            </w:r>
            <w:r w:rsidR="00F3232E" w:rsidRPr="00F55E92">
              <w:rPr>
                <w:rFonts w:ascii="Times New Roman" w:hAnsi="Times New Roman" w:cs="Times New Roman"/>
                <w:color w:val="000000" w:themeColor="text1"/>
                <w:sz w:val="28"/>
                <w:szCs w:val="28"/>
              </w:rPr>
              <w:t xml:space="preserve">asins dienesta darbības organizēšanu un koordinēšanu veic VADC, Projekts paredz papildināt </w:t>
            </w:r>
            <w:r w:rsidR="00E72C30" w:rsidRPr="00F55E92">
              <w:rPr>
                <w:rFonts w:ascii="Times New Roman" w:hAnsi="Times New Roman" w:cs="Times New Roman"/>
                <w:sz w:val="28"/>
                <w:szCs w:val="28"/>
              </w:rPr>
              <w:t>Noteikumu Nr. 1037 6</w:t>
            </w:r>
            <w:r w:rsidR="00F3232E" w:rsidRPr="00F55E92">
              <w:rPr>
                <w:rFonts w:ascii="Times New Roman" w:hAnsi="Times New Roman" w:cs="Times New Roman"/>
                <w:sz w:val="28"/>
                <w:szCs w:val="28"/>
              </w:rPr>
              <w:t>.</w:t>
            </w:r>
            <w:r w:rsidR="00E72C30" w:rsidRPr="00F55E92">
              <w:rPr>
                <w:rFonts w:ascii="Times New Roman" w:hAnsi="Times New Roman" w:cs="Times New Roman"/>
                <w:sz w:val="28"/>
                <w:szCs w:val="28"/>
                <w:vertAlign w:val="superscript"/>
              </w:rPr>
              <w:t>1</w:t>
            </w:r>
            <w:r w:rsidR="00E72C30" w:rsidRPr="00F55E92">
              <w:rPr>
                <w:rFonts w:ascii="Times New Roman" w:hAnsi="Times New Roman" w:cs="Times New Roman"/>
                <w:sz w:val="28"/>
                <w:szCs w:val="28"/>
              </w:rPr>
              <w:t xml:space="preserve"> punktu, nosakot VADC vadošo lomu un uzliekot par pienākumu veidot un uzturēt paraugu arhīvu</w:t>
            </w:r>
            <w:r w:rsidR="00F3232E" w:rsidRPr="00F55E92">
              <w:rPr>
                <w:rFonts w:ascii="Times New Roman" w:hAnsi="Times New Roman" w:cs="Times New Roman"/>
                <w:sz w:val="28"/>
                <w:szCs w:val="28"/>
              </w:rPr>
              <w:t>, ņemot vērā, ka r</w:t>
            </w:r>
            <w:r w:rsidR="00E72C30" w:rsidRPr="00F55E92">
              <w:rPr>
                <w:rFonts w:ascii="Times New Roman" w:hAnsi="Times New Roman" w:cs="Times New Roman"/>
                <w:sz w:val="28"/>
                <w:szCs w:val="28"/>
              </w:rPr>
              <w:t>etrospektīvo izmeklēšanu var veikt tikai VADC no iepriekš sagatavotiem un uzglabātiem asins paraugiem</w:t>
            </w:r>
            <w:r w:rsidR="00F55E92" w:rsidRPr="00F55E92">
              <w:rPr>
                <w:rFonts w:ascii="Times New Roman" w:hAnsi="Times New Roman" w:cs="Times New Roman"/>
                <w:sz w:val="28"/>
                <w:szCs w:val="28"/>
              </w:rPr>
              <w:t xml:space="preserve">. </w:t>
            </w:r>
            <w:r w:rsidR="00F55E92" w:rsidRPr="00F55E92">
              <w:rPr>
                <w:rFonts w:ascii="Times New Roman" w:eastAsia="Times New Roman" w:hAnsi="Times New Roman" w:cs="Times New Roman"/>
                <w:sz w:val="28"/>
                <w:szCs w:val="28"/>
                <w:bdr w:val="none" w:sz="0" w:space="0" w:color="auto" w:frame="1"/>
                <w:lang w:eastAsia="lv-LV"/>
              </w:rPr>
              <w:t xml:space="preserve">Klīnisko paraugu uzglabāšanas prasību nosaka ISO 15189 standarts un </w:t>
            </w:r>
            <w:r w:rsidR="00493362" w:rsidRPr="00493362">
              <w:rPr>
                <w:rFonts w:ascii="Times New Roman" w:hAnsi="Times New Roman" w:cs="Times New Roman"/>
                <w:sz w:val="28"/>
                <w:szCs w:val="28"/>
              </w:rPr>
              <w:t xml:space="preserve">Komisijas un Eiropas Padomes Eiropas Zāļu kvalitātes un veselības aprūpes direktorāta </w:t>
            </w:r>
            <w:r w:rsidR="00493362" w:rsidRPr="00493362">
              <w:rPr>
                <w:rFonts w:ascii="Times New Roman" w:hAnsi="Times New Roman" w:cs="Times New Roman"/>
                <w:i/>
                <w:iCs/>
                <w:sz w:val="28"/>
                <w:szCs w:val="28"/>
              </w:rPr>
              <w:t>(Directorate for the Quality of Medicines&amp; HealthCare of the Council of Europe)</w:t>
            </w:r>
            <w:r w:rsidR="00493362" w:rsidRPr="00493362">
              <w:rPr>
                <w:rFonts w:ascii="Times New Roman" w:hAnsi="Times New Roman" w:cs="Times New Roman"/>
                <w:sz w:val="28"/>
                <w:szCs w:val="28"/>
              </w:rPr>
              <w:t xml:space="preserve"> kopīgi izstrādātās un Eiropas Padomes publicētās Labas prakses pamatnostādnes</w:t>
            </w:r>
            <w:r w:rsidR="00493362">
              <w:rPr>
                <w:rFonts w:ascii="Times New Roman" w:hAnsi="Times New Roman" w:cs="Times New Roman"/>
                <w:sz w:val="28"/>
                <w:szCs w:val="28"/>
              </w:rPr>
              <w:t xml:space="preserve"> </w:t>
            </w:r>
            <w:r w:rsidR="00F55E92" w:rsidRPr="00F55E92">
              <w:rPr>
                <w:rFonts w:ascii="Times New Roman" w:eastAsia="Times New Roman" w:hAnsi="Times New Roman" w:cs="Times New Roman"/>
                <w:sz w:val="28"/>
                <w:szCs w:val="28"/>
                <w:bdr w:val="none" w:sz="0" w:space="0" w:color="auto" w:frame="1"/>
                <w:lang w:eastAsia="lv-LV"/>
              </w:rPr>
              <w:t xml:space="preserve">asins sagatavotājiestādēm, kurām ir jāievēro Direktīvas 2005/62/EK prasības un </w:t>
            </w:r>
            <w:r w:rsidR="00493362" w:rsidRPr="00493362">
              <w:rPr>
                <w:rFonts w:ascii="Times New Roman" w:hAnsi="Times New Roman" w:cs="Times New Roman"/>
                <w:sz w:val="28"/>
                <w:szCs w:val="28"/>
              </w:rPr>
              <w:t>Asins komponentu pagatavošanas, izmantošanas un kvalitātes nodrošināšanas rokasgrāmatā</w:t>
            </w:r>
            <w:r w:rsidR="00493362" w:rsidRPr="00F55E92">
              <w:rPr>
                <w:rFonts w:ascii="Times New Roman" w:eastAsia="Times New Roman" w:hAnsi="Times New Roman" w:cs="Times New Roman"/>
                <w:i/>
                <w:iCs/>
                <w:sz w:val="28"/>
                <w:szCs w:val="28"/>
                <w:bdr w:val="none" w:sz="0" w:space="0" w:color="auto" w:frame="1"/>
                <w:lang w:eastAsia="lv-LV"/>
              </w:rPr>
              <w:t xml:space="preserve"> </w:t>
            </w:r>
            <w:r w:rsidR="00F55E92" w:rsidRPr="00F55E92">
              <w:rPr>
                <w:rFonts w:ascii="Times New Roman" w:eastAsia="Times New Roman" w:hAnsi="Times New Roman" w:cs="Times New Roman"/>
                <w:i/>
                <w:iCs/>
                <w:sz w:val="28"/>
                <w:szCs w:val="28"/>
                <w:bdr w:val="none" w:sz="0" w:space="0" w:color="auto" w:frame="1"/>
                <w:lang w:eastAsia="lv-LV"/>
              </w:rPr>
              <w:t>“Guide to the preparation, use and quality assurance of blood components”</w:t>
            </w:r>
            <w:r w:rsidR="00F55E92" w:rsidRPr="00F55E92">
              <w:rPr>
                <w:rFonts w:ascii="Times New Roman" w:eastAsia="Times New Roman" w:hAnsi="Times New Roman" w:cs="Times New Roman"/>
                <w:sz w:val="28"/>
                <w:szCs w:val="28"/>
                <w:bdr w:val="none" w:sz="0" w:space="0" w:color="auto" w:frame="1"/>
                <w:lang w:eastAsia="lv-LV"/>
              </w:rPr>
              <w:t xml:space="preserve"> </w:t>
            </w:r>
            <w:r w:rsidR="00493362">
              <w:rPr>
                <w:rFonts w:ascii="Times New Roman" w:eastAsia="Times New Roman" w:hAnsi="Times New Roman" w:cs="Times New Roman"/>
                <w:sz w:val="28"/>
                <w:szCs w:val="28"/>
                <w:bdr w:val="none" w:sz="0" w:space="0" w:color="auto" w:frame="1"/>
                <w:lang w:eastAsia="lv-LV"/>
              </w:rPr>
              <w:t>iekļautie ieteikumi</w:t>
            </w:r>
            <w:r w:rsidR="00F55E92" w:rsidRPr="00F55E92">
              <w:rPr>
                <w:rFonts w:ascii="Times New Roman" w:eastAsia="Times New Roman" w:hAnsi="Times New Roman" w:cs="Times New Roman"/>
                <w:sz w:val="28"/>
                <w:szCs w:val="28"/>
                <w:bdr w:val="none" w:sz="0" w:space="0" w:color="auto" w:frame="1"/>
                <w:lang w:eastAsia="lv-LV"/>
              </w:rPr>
              <w:t xml:space="preserve">. </w:t>
            </w:r>
            <w:r w:rsidR="00493362">
              <w:rPr>
                <w:rFonts w:ascii="Times New Roman" w:eastAsia="Times New Roman" w:hAnsi="Times New Roman" w:cs="Times New Roman"/>
                <w:sz w:val="28"/>
                <w:szCs w:val="28"/>
                <w:bdr w:val="none" w:sz="0" w:space="0" w:color="auto" w:frame="1"/>
                <w:lang w:eastAsia="lv-LV"/>
              </w:rPr>
              <w:t>K</w:t>
            </w:r>
            <w:r w:rsidR="00493362" w:rsidRPr="00F55E92">
              <w:rPr>
                <w:rFonts w:ascii="Times New Roman" w:eastAsia="Times New Roman" w:hAnsi="Times New Roman" w:cs="Times New Roman"/>
                <w:sz w:val="28"/>
                <w:szCs w:val="28"/>
                <w:bdr w:val="none" w:sz="0" w:space="0" w:color="auto" w:frame="1"/>
                <w:lang w:eastAsia="lv-LV"/>
              </w:rPr>
              <w:t xml:space="preserve">onkrēts </w:t>
            </w:r>
            <w:r w:rsidR="001C300A">
              <w:rPr>
                <w:rFonts w:ascii="Times New Roman" w:eastAsia="Times New Roman" w:hAnsi="Times New Roman" w:cs="Times New Roman"/>
                <w:sz w:val="28"/>
                <w:szCs w:val="28"/>
                <w:bdr w:val="none" w:sz="0" w:space="0" w:color="auto" w:frame="1"/>
                <w:lang w:eastAsia="lv-LV"/>
              </w:rPr>
              <w:t xml:space="preserve">asins paraugu </w:t>
            </w:r>
            <w:r w:rsidR="00493362">
              <w:rPr>
                <w:rFonts w:ascii="Times New Roman" w:eastAsia="Times New Roman" w:hAnsi="Times New Roman" w:cs="Times New Roman"/>
                <w:sz w:val="28"/>
                <w:szCs w:val="28"/>
                <w:bdr w:val="none" w:sz="0" w:space="0" w:color="auto" w:frame="1"/>
                <w:lang w:eastAsia="lv-LV"/>
              </w:rPr>
              <w:t xml:space="preserve">glabāšanas </w:t>
            </w:r>
            <w:r w:rsidR="001C300A">
              <w:rPr>
                <w:rFonts w:ascii="Times New Roman" w:eastAsia="Times New Roman" w:hAnsi="Times New Roman" w:cs="Times New Roman"/>
                <w:sz w:val="28"/>
                <w:szCs w:val="28"/>
                <w:bdr w:val="none" w:sz="0" w:space="0" w:color="auto" w:frame="1"/>
                <w:lang w:eastAsia="lv-LV"/>
              </w:rPr>
              <w:t>termiņš</w:t>
            </w:r>
            <w:r w:rsidR="00493362">
              <w:rPr>
                <w:rFonts w:ascii="Times New Roman" w:eastAsia="Times New Roman" w:hAnsi="Times New Roman" w:cs="Times New Roman"/>
                <w:sz w:val="28"/>
                <w:szCs w:val="28"/>
                <w:bdr w:val="none" w:sz="0" w:space="0" w:color="auto" w:frame="1"/>
                <w:lang w:eastAsia="lv-LV"/>
              </w:rPr>
              <w:t xml:space="preserve"> </w:t>
            </w:r>
            <w:r w:rsidR="001C300A">
              <w:rPr>
                <w:rFonts w:ascii="Times New Roman" w:eastAsia="Times New Roman" w:hAnsi="Times New Roman" w:cs="Times New Roman"/>
                <w:sz w:val="28"/>
                <w:szCs w:val="28"/>
                <w:bdr w:val="none" w:sz="0" w:space="0" w:color="auto" w:frame="1"/>
                <w:lang w:eastAsia="lv-LV"/>
              </w:rPr>
              <w:t>a</w:t>
            </w:r>
            <w:r w:rsidR="00493362">
              <w:rPr>
                <w:rFonts w:ascii="Times New Roman" w:eastAsia="Times New Roman" w:hAnsi="Times New Roman" w:cs="Times New Roman"/>
                <w:sz w:val="28"/>
                <w:szCs w:val="28"/>
                <w:bdr w:val="none" w:sz="0" w:space="0" w:color="auto" w:frame="1"/>
                <w:lang w:eastAsia="lv-LV"/>
              </w:rPr>
              <w:t>ugstāk minētajos dokumentos nav noteikts</w:t>
            </w:r>
            <w:r w:rsidR="00F55E92" w:rsidRPr="00F55E92">
              <w:rPr>
                <w:rFonts w:ascii="Times New Roman" w:eastAsia="Times New Roman" w:hAnsi="Times New Roman" w:cs="Times New Roman"/>
                <w:sz w:val="28"/>
                <w:szCs w:val="28"/>
                <w:bdr w:val="none" w:sz="0" w:space="0" w:color="auto" w:frame="1"/>
                <w:lang w:eastAsia="lv-LV"/>
              </w:rPr>
              <w:t xml:space="preserve">, bet tas tiek </w:t>
            </w:r>
            <w:r w:rsidR="001C300A">
              <w:rPr>
                <w:rFonts w:ascii="Times New Roman" w:eastAsia="Times New Roman" w:hAnsi="Times New Roman" w:cs="Times New Roman"/>
                <w:sz w:val="28"/>
                <w:szCs w:val="28"/>
                <w:bdr w:val="none" w:sz="0" w:space="0" w:color="auto" w:frame="1"/>
                <w:lang w:eastAsia="lv-LV"/>
              </w:rPr>
              <w:t>pie</w:t>
            </w:r>
            <w:r w:rsidR="00F55E92" w:rsidRPr="00F55E92">
              <w:rPr>
                <w:rFonts w:ascii="Times New Roman" w:eastAsia="Times New Roman" w:hAnsi="Times New Roman" w:cs="Times New Roman"/>
                <w:sz w:val="28"/>
                <w:szCs w:val="28"/>
                <w:bdr w:val="none" w:sz="0" w:space="0" w:color="auto" w:frame="1"/>
                <w:lang w:eastAsia="lv-LV"/>
              </w:rPr>
              <w:t>l</w:t>
            </w:r>
            <w:r w:rsidR="001C300A">
              <w:rPr>
                <w:rFonts w:ascii="Times New Roman" w:eastAsia="Times New Roman" w:hAnsi="Times New Roman" w:cs="Times New Roman"/>
                <w:sz w:val="28"/>
                <w:szCs w:val="28"/>
                <w:bdr w:val="none" w:sz="0" w:space="0" w:color="auto" w:frame="1"/>
                <w:lang w:eastAsia="lv-LV"/>
              </w:rPr>
              <w:t>ī</w:t>
            </w:r>
            <w:r w:rsidR="00F55E92" w:rsidRPr="00F55E92">
              <w:rPr>
                <w:rFonts w:ascii="Times New Roman" w:eastAsia="Times New Roman" w:hAnsi="Times New Roman" w:cs="Times New Roman"/>
                <w:sz w:val="28"/>
                <w:szCs w:val="28"/>
                <w:bdr w:val="none" w:sz="0" w:space="0" w:color="auto" w:frame="1"/>
                <w:lang w:eastAsia="lv-LV"/>
              </w:rPr>
              <w:t>dzināt</w:t>
            </w:r>
            <w:r w:rsidR="001C300A">
              <w:rPr>
                <w:rFonts w:ascii="Times New Roman" w:eastAsia="Times New Roman" w:hAnsi="Times New Roman" w:cs="Times New Roman"/>
                <w:sz w:val="28"/>
                <w:szCs w:val="28"/>
                <w:bdr w:val="none" w:sz="0" w:space="0" w:color="auto" w:frame="1"/>
                <w:lang w:eastAsia="lv-LV"/>
              </w:rPr>
              <w:t>s</w:t>
            </w:r>
            <w:r w:rsidR="00F55E92" w:rsidRPr="00F55E92">
              <w:rPr>
                <w:rFonts w:ascii="Times New Roman" w:eastAsia="Times New Roman" w:hAnsi="Times New Roman" w:cs="Times New Roman"/>
                <w:sz w:val="28"/>
                <w:szCs w:val="28"/>
                <w:bdr w:val="none" w:sz="0" w:space="0" w:color="auto" w:frame="1"/>
                <w:lang w:eastAsia="lv-LV"/>
              </w:rPr>
              <w:t xml:space="preserve"> svaigi saldētas plazmas uzglabāšanas termiņ</w:t>
            </w:r>
            <w:r w:rsidR="001C300A">
              <w:rPr>
                <w:rFonts w:ascii="Times New Roman" w:eastAsia="Times New Roman" w:hAnsi="Times New Roman" w:cs="Times New Roman"/>
                <w:sz w:val="28"/>
                <w:szCs w:val="28"/>
                <w:bdr w:val="none" w:sz="0" w:space="0" w:color="auto" w:frame="1"/>
                <w:lang w:eastAsia="lv-LV"/>
              </w:rPr>
              <w:t>am</w:t>
            </w:r>
            <w:r w:rsidR="00F55E92" w:rsidRPr="00F55E92">
              <w:rPr>
                <w:rFonts w:ascii="Times New Roman" w:eastAsia="Times New Roman" w:hAnsi="Times New Roman" w:cs="Times New Roman"/>
                <w:sz w:val="28"/>
                <w:szCs w:val="28"/>
                <w:bdr w:val="none" w:sz="0" w:space="0" w:color="auto" w:frame="1"/>
                <w:lang w:eastAsia="lv-LV"/>
              </w:rPr>
              <w:t xml:space="preserve"> -</w:t>
            </w:r>
            <w:r w:rsidR="001C300A">
              <w:rPr>
                <w:rFonts w:ascii="Times New Roman" w:eastAsia="Times New Roman" w:hAnsi="Times New Roman" w:cs="Times New Roman"/>
                <w:sz w:val="28"/>
                <w:szCs w:val="28"/>
                <w:bdr w:val="none" w:sz="0" w:space="0" w:color="auto" w:frame="1"/>
                <w:lang w:eastAsia="lv-LV"/>
              </w:rPr>
              <w:t xml:space="preserve"> </w:t>
            </w:r>
            <w:r w:rsidR="00F55E92" w:rsidRPr="00F55E92">
              <w:rPr>
                <w:rFonts w:ascii="Times New Roman" w:eastAsia="Times New Roman" w:hAnsi="Times New Roman" w:cs="Times New Roman"/>
                <w:sz w:val="28"/>
                <w:szCs w:val="28"/>
                <w:bdr w:val="none" w:sz="0" w:space="0" w:color="auto" w:frame="1"/>
                <w:lang w:eastAsia="lv-LV"/>
              </w:rPr>
              <w:t>3 gadi</w:t>
            </w:r>
            <w:r w:rsidR="001C300A">
              <w:rPr>
                <w:rFonts w:ascii="Times New Roman" w:eastAsia="Times New Roman" w:hAnsi="Times New Roman" w:cs="Times New Roman"/>
                <w:sz w:val="28"/>
                <w:szCs w:val="28"/>
                <w:bdr w:val="none" w:sz="0" w:space="0" w:color="auto" w:frame="1"/>
                <w:lang w:eastAsia="lv-LV"/>
              </w:rPr>
              <w:t>em</w:t>
            </w:r>
            <w:r w:rsidR="00F55E92" w:rsidRPr="00F55E92">
              <w:rPr>
                <w:rFonts w:ascii="Times New Roman" w:eastAsia="Times New Roman" w:hAnsi="Times New Roman" w:cs="Times New Roman"/>
                <w:sz w:val="28"/>
                <w:szCs w:val="28"/>
                <w:bdr w:val="none" w:sz="0" w:space="0" w:color="auto" w:frame="1"/>
                <w:lang w:eastAsia="lv-LV"/>
              </w:rPr>
              <w:t xml:space="preserve"> </w:t>
            </w:r>
            <w:r w:rsidR="00F55E92" w:rsidRPr="001C300A">
              <w:rPr>
                <w:rFonts w:ascii="Times New Roman" w:eastAsia="Times New Roman" w:hAnsi="Times New Roman" w:cs="Times New Roman"/>
                <w:i/>
                <w:iCs/>
                <w:sz w:val="28"/>
                <w:szCs w:val="28"/>
                <w:bdr w:val="none" w:sz="0" w:space="0" w:color="auto" w:frame="1"/>
                <w:lang w:eastAsia="lv-LV"/>
              </w:rPr>
              <w:t>(“Guide to the preparation, use and quality assurance of blood components” 252.lpp)</w:t>
            </w:r>
            <w:r w:rsidR="00F55E92" w:rsidRPr="00F55E92">
              <w:rPr>
                <w:rFonts w:ascii="Times New Roman" w:eastAsia="Times New Roman" w:hAnsi="Times New Roman" w:cs="Times New Roman"/>
                <w:sz w:val="28"/>
                <w:szCs w:val="28"/>
                <w:bdr w:val="none" w:sz="0" w:space="0" w:color="auto" w:frame="1"/>
                <w:lang w:eastAsia="lv-LV"/>
              </w:rPr>
              <w:t xml:space="preserve">, </w:t>
            </w:r>
            <w:r w:rsidR="001C300A">
              <w:rPr>
                <w:rFonts w:ascii="Times New Roman" w:eastAsia="Times New Roman" w:hAnsi="Times New Roman" w:cs="Times New Roman"/>
                <w:sz w:val="28"/>
                <w:szCs w:val="28"/>
                <w:bdr w:val="none" w:sz="0" w:space="0" w:color="auto" w:frame="1"/>
                <w:lang w:eastAsia="lv-LV"/>
              </w:rPr>
              <w:t>kā</w:t>
            </w:r>
            <w:r w:rsidR="00F55E92" w:rsidRPr="00F55E92">
              <w:rPr>
                <w:rFonts w:ascii="Times New Roman" w:eastAsia="Times New Roman" w:hAnsi="Times New Roman" w:cs="Times New Roman"/>
                <w:sz w:val="28"/>
                <w:szCs w:val="28"/>
                <w:bdr w:val="none" w:sz="0" w:space="0" w:color="auto" w:frame="1"/>
                <w:lang w:eastAsia="lv-LV"/>
              </w:rPr>
              <w:t xml:space="preserve"> arī līdzšinējā pieredze ar zāļu ražotāju </w:t>
            </w:r>
            <w:r w:rsidR="00AD18E0">
              <w:rPr>
                <w:rFonts w:ascii="Times New Roman" w:eastAsia="Times New Roman" w:hAnsi="Times New Roman" w:cs="Times New Roman"/>
                <w:sz w:val="28"/>
                <w:szCs w:val="28"/>
                <w:bdr w:val="none" w:sz="0" w:space="0" w:color="auto" w:frame="1"/>
                <w:lang w:eastAsia="lv-LV"/>
              </w:rPr>
              <w:t>paredz</w:t>
            </w:r>
            <w:r w:rsidR="00F55E92" w:rsidRPr="00F55E92">
              <w:rPr>
                <w:rFonts w:ascii="Times New Roman" w:eastAsia="Times New Roman" w:hAnsi="Times New Roman" w:cs="Times New Roman"/>
                <w:sz w:val="28"/>
                <w:szCs w:val="28"/>
                <w:bdr w:val="none" w:sz="0" w:space="0" w:color="auto" w:frame="1"/>
                <w:lang w:eastAsia="lv-LV"/>
              </w:rPr>
              <w:t xml:space="preserve"> 3 gadu </w:t>
            </w:r>
            <w:r w:rsidR="001C300A">
              <w:rPr>
                <w:rFonts w:ascii="Times New Roman" w:eastAsia="Times New Roman" w:hAnsi="Times New Roman" w:cs="Times New Roman"/>
                <w:sz w:val="28"/>
                <w:szCs w:val="28"/>
                <w:bdr w:val="none" w:sz="0" w:space="0" w:color="auto" w:frame="1"/>
                <w:lang w:eastAsia="lv-LV"/>
              </w:rPr>
              <w:t xml:space="preserve">uzglabāšanas </w:t>
            </w:r>
            <w:r w:rsidR="00F55E92" w:rsidRPr="00F55E92">
              <w:rPr>
                <w:rFonts w:ascii="Times New Roman" w:eastAsia="Times New Roman" w:hAnsi="Times New Roman" w:cs="Times New Roman"/>
                <w:sz w:val="28"/>
                <w:szCs w:val="28"/>
                <w:bdr w:val="none" w:sz="0" w:space="0" w:color="auto" w:frame="1"/>
                <w:lang w:eastAsia="lv-LV"/>
              </w:rPr>
              <w:t>periodu</w:t>
            </w:r>
            <w:r w:rsidR="001C300A">
              <w:rPr>
                <w:rFonts w:ascii="Times New Roman" w:eastAsia="Times New Roman" w:hAnsi="Times New Roman" w:cs="Times New Roman"/>
                <w:sz w:val="28"/>
                <w:szCs w:val="28"/>
                <w:bdr w:val="none" w:sz="0" w:space="0" w:color="auto" w:frame="1"/>
                <w:lang w:eastAsia="lv-LV"/>
              </w:rPr>
              <w:t>, kas noteikts arī</w:t>
            </w:r>
            <w:r w:rsidR="00F55E92" w:rsidRPr="00F55E92">
              <w:rPr>
                <w:rFonts w:ascii="Times New Roman" w:eastAsia="Times New Roman" w:hAnsi="Times New Roman" w:cs="Times New Roman"/>
                <w:sz w:val="28"/>
                <w:szCs w:val="28"/>
                <w:bdr w:val="none" w:sz="0" w:space="0" w:color="auto" w:frame="1"/>
                <w:lang w:eastAsia="lv-LV"/>
              </w:rPr>
              <w:t xml:space="preserve"> iekšējā normatīvā aktā – RI-226/03).</w:t>
            </w:r>
            <w:r w:rsidR="001C300A">
              <w:rPr>
                <w:rFonts w:ascii="Times New Roman" w:eastAsia="Times New Roman" w:hAnsi="Times New Roman" w:cs="Times New Roman"/>
                <w:sz w:val="28"/>
                <w:szCs w:val="28"/>
                <w:bdr w:val="none" w:sz="0" w:space="0" w:color="auto" w:frame="1"/>
                <w:lang w:eastAsia="lv-LV"/>
              </w:rPr>
              <w:t xml:space="preserve"> Tādējādi </w:t>
            </w:r>
            <w:r w:rsidR="00F55E92" w:rsidRPr="00F55E92">
              <w:rPr>
                <w:rFonts w:ascii="Times New Roman" w:eastAsia="Times New Roman" w:hAnsi="Times New Roman" w:cs="Times New Roman"/>
                <w:sz w:val="28"/>
                <w:szCs w:val="28"/>
                <w:bdr w:val="none" w:sz="0" w:space="0" w:color="auto" w:frame="1"/>
                <w:lang w:eastAsia="lv-LV"/>
              </w:rPr>
              <w:t>VADC</w:t>
            </w:r>
            <w:r w:rsidR="001C300A">
              <w:rPr>
                <w:rFonts w:ascii="Times New Roman" w:eastAsia="Times New Roman" w:hAnsi="Times New Roman" w:cs="Times New Roman"/>
                <w:sz w:val="28"/>
                <w:szCs w:val="28"/>
                <w:bdr w:val="none" w:sz="0" w:space="0" w:color="auto" w:frame="1"/>
                <w:lang w:eastAsia="lv-LV"/>
              </w:rPr>
              <w:t>, kā kompetentās iestādes</w:t>
            </w:r>
            <w:r w:rsidR="00F55E92" w:rsidRPr="00F55E92">
              <w:rPr>
                <w:rFonts w:ascii="Times New Roman" w:eastAsia="Times New Roman" w:hAnsi="Times New Roman" w:cs="Times New Roman"/>
                <w:sz w:val="28"/>
                <w:szCs w:val="28"/>
                <w:bdr w:val="none" w:sz="0" w:space="0" w:color="auto" w:frame="1"/>
                <w:lang w:eastAsia="lv-LV"/>
              </w:rPr>
              <w:t xml:space="preserve"> ieskatā</w:t>
            </w:r>
            <w:r w:rsidR="001C300A">
              <w:rPr>
                <w:rFonts w:ascii="Times New Roman" w:eastAsia="Times New Roman" w:hAnsi="Times New Roman" w:cs="Times New Roman"/>
                <w:sz w:val="28"/>
                <w:szCs w:val="28"/>
                <w:bdr w:val="none" w:sz="0" w:space="0" w:color="auto" w:frame="1"/>
                <w:lang w:eastAsia="lv-LV"/>
              </w:rPr>
              <w:t>, Latvijā būtu nosakāms konkrēts asins paraugu uzglabāšanas termiņš – 3 gadi</w:t>
            </w:r>
            <w:r w:rsidR="00364857" w:rsidRPr="00F55E92">
              <w:rPr>
                <w:rFonts w:ascii="Times New Roman" w:hAnsi="Times New Roman" w:cs="Times New Roman"/>
                <w:sz w:val="28"/>
                <w:szCs w:val="28"/>
              </w:rPr>
              <w:t xml:space="preserve"> </w:t>
            </w:r>
            <w:r w:rsidR="00364857" w:rsidRPr="00F55E92">
              <w:rPr>
                <w:rFonts w:ascii="Times New Roman" w:hAnsi="Times New Roman" w:cs="Times New Roman"/>
                <w:i/>
                <w:iCs/>
                <w:sz w:val="28"/>
                <w:szCs w:val="28"/>
              </w:rPr>
              <w:t>(Projekta 2. punkts).</w:t>
            </w:r>
          </w:p>
          <w:p w14:paraId="4C2C9D23" w14:textId="77777777" w:rsidR="00DC406A" w:rsidRDefault="009C59BA" w:rsidP="00DC406A">
            <w:pPr>
              <w:pStyle w:val="NormalWeb"/>
              <w:spacing w:before="0" w:beforeAutospacing="0" w:after="0" w:afterAutospacing="0"/>
              <w:ind w:left="176" w:right="74"/>
              <w:jc w:val="both"/>
              <w:rPr>
                <w:sz w:val="28"/>
                <w:szCs w:val="28"/>
              </w:rPr>
            </w:pPr>
            <w:r>
              <w:rPr>
                <w:sz w:val="28"/>
                <w:szCs w:val="28"/>
              </w:rPr>
              <w:t xml:space="preserve">     </w:t>
            </w:r>
            <w:r w:rsidR="00E72C30" w:rsidRPr="00267203">
              <w:rPr>
                <w:sz w:val="28"/>
                <w:szCs w:val="28"/>
              </w:rPr>
              <w:t>3. Noteikum</w:t>
            </w:r>
            <w:r>
              <w:rPr>
                <w:sz w:val="28"/>
                <w:szCs w:val="28"/>
              </w:rPr>
              <w:t>u</w:t>
            </w:r>
            <w:r w:rsidR="00E72C30" w:rsidRPr="00267203">
              <w:rPr>
                <w:sz w:val="28"/>
                <w:szCs w:val="28"/>
              </w:rPr>
              <w:t xml:space="preserve"> Nr. 1037 9. punkts nosaka, ka informāciju par </w:t>
            </w:r>
            <w:r>
              <w:rPr>
                <w:sz w:val="28"/>
                <w:szCs w:val="28"/>
              </w:rPr>
              <w:t>ZVA</w:t>
            </w:r>
            <w:r w:rsidR="00E72C30" w:rsidRPr="00267203">
              <w:rPr>
                <w:sz w:val="28"/>
                <w:szCs w:val="28"/>
              </w:rPr>
              <w:t xml:space="preserve"> izsniegtajiem atbilstības sertifikātiem un tajos iekļautajām darbībām un to nosacījumiem publicē </w:t>
            </w:r>
            <w:r w:rsidR="00DC406A">
              <w:rPr>
                <w:sz w:val="28"/>
                <w:szCs w:val="28"/>
              </w:rPr>
              <w:t>ZVA</w:t>
            </w:r>
            <w:r w:rsidR="00E72C30" w:rsidRPr="00267203">
              <w:rPr>
                <w:sz w:val="28"/>
                <w:szCs w:val="28"/>
              </w:rPr>
              <w:t xml:space="preserve"> tīmekļvietnē.</w:t>
            </w:r>
          </w:p>
          <w:p w14:paraId="706EA279" w14:textId="77777777" w:rsidR="00DC406A" w:rsidRDefault="00DC406A" w:rsidP="00DC406A">
            <w:pPr>
              <w:pStyle w:val="NormalWeb"/>
              <w:spacing w:before="0" w:beforeAutospacing="0" w:after="0" w:afterAutospacing="0"/>
              <w:ind w:left="176" w:right="74"/>
              <w:jc w:val="both"/>
              <w:rPr>
                <w:sz w:val="28"/>
                <w:szCs w:val="28"/>
              </w:rPr>
            </w:pPr>
            <w:r>
              <w:rPr>
                <w:sz w:val="28"/>
                <w:szCs w:val="28"/>
              </w:rPr>
              <w:t xml:space="preserve">          </w:t>
            </w:r>
            <w:r w:rsidR="00E72C30" w:rsidRPr="00267203">
              <w:rPr>
                <w:sz w:val="28"/>
                <w:szCs w:val="28"/>
              </w:rPr>
              <w:t xml:space="preserve">Šobrīd nav skaidri noteiktas prasības attiecībā uz </w:t>
            </w:r>
            <w:r>
              <w:rPr>
                <w:sz w:val="28"/>
                <w:szCs w:val="28"/>
              </w:rPr>
              <w:t>VADC</w:t>
            </w:r>
            <w:r w:rsidR="00E72C30" w:rsidRPr="00267203">
              <w:rPr>
                <w:sz w:val="28"/>
                <w:szCs w:val="28"/>
              </w:rPr>
              <w:t xml:space="preserve"> un asins sagatavošanas nodaļas atbildīgās personas vārda un uzvārda publicēšanu. </w:t>
            </w:r>
          </w:p>
          <w:p w14:paraId="63A66357" w14:textId="77777777" w:rsidR="006B6C12" w:rsidRDefault="00DC406A" w:rsidP="006B6C12">
            <w:pPr>
              <w:pStyle w:val="NormalWeb"/>
              <w:spacing w:before="0" w:beforeAutospacing="0" w:after="0" w:afterAutospacing="0"/>
              <w:ind w:left="176" w:right="74"/>
              <w:jc w:val="both"/>
              <w:rPr>
                <w:sz w:val="28"/>
                <w:szCs w:val="28"/>
              </w:rPr>
            </w:pPr>
            <w:r>
              <w:rPr>
                <w:sz w:val="28"/>
                <w:szCs w:val="28"/>
              </w:rPr>
              <w:t xml:space="preserve">         </w:t>
            </w:r>
            <w:r w:rsidR="00E72C30" w:rsidRPr="00267203">
              <w:rPr>
                <w:sz w:val="28"/>
                <w:szCs w:val="28"/>
              </w:rPr>
              <w:t>Prasības atbildīgās persona</w:t>
            </w:r>
            <w:r>
              <w:rPr>
                <w:sz w:val="28"/>
                <w:szCs w:val="28"/>
              </w:rPr>
              <w:t>s</w:t>
            </w:r>
            <w:r w:rsidR="00E72C30" w:rsidRPr="00267203">
              <w:rPr>
                <w:sz w:val="28"/>
                <w:szCs w:val="28"/>
              </w:rPr>
              <w:t xml:space="preserve"> kvalifikācijai ir noteiktas Noteikumu Nr. 1037 11.</w:t>
            </w:r>
            <w:r>
              <w:rPr>
                <w:sz w:val="28"/>
                <w:szCs w:val="28"/>
              </w:rPr>
              <w:t xml:space="preserve"> </w:t>
            </w:r>
            <w:r w:rsidR="00E72C30" w:rsidRPr="00267203">
              <w:rPr>
                <w:sz w:val="28"/>
                <w:szCs w:val="28"/>
              </w:rPr>
              <w:t>punktā, un</w:t>
            </w:r>
            <w:r>
              <w:rPr>
                <w:sz w:val="28"/>
                <w:szCs w:val="28"/>
              </w:rPr>
              <w:t>,</w:t>
            </w:r>
            <w:r w:rsidR="00E72C30" w:rsidRPr="00267203">
              <w:rPr>
                <w:sz w:val="28"/>
                <w:szCs w:val="28"/>
              </w:rPr>
              <w:t xml:space="preserve"> saskaņā ar minēto noteikumu 14.</w:t>
            </w:r>
            <w:r>
              <w:rPr>
                <w:sz w:val="28"/>
                <w:szCs w:val="28"/>
              </w:rPr>
              <w:t xml:space="preserve"> </w:t>
            </w:r>
            <w:r w:rsidR="00E72C30" w:rsidRPr="00267203">
              <w:rPr>
                <w:sz w:val="28"/>
                <w:szCs w:val="28"/>
              </w:rPr>
              <w:t xml:space="preserve">punktu, aizvietojot atbildīgo personu uz laiku vai pastāvīgi, </w:t>
            </w:r>
            <w:r>
              <w:rPr>
                <w:sz w:val="28"/>
                <w:szCs w:val="28"/>
              </w:rPr>
              <w:t>VADC</w:t>
            </w:r>
            <w:r w:rsidR="00E72C30" w:rsidRPr="00267203">
              <w:rPr>
                <w:sz w:val="28"/>
                <w:szCs w:val="28"/>
              </w:rPr>
              <w:t xml:space="preserve"> un asins sagatavošanas nodaļas paziņo </w:t>
            </w:r>
            <w:r>
              <w:rPr>
                <w:sz w:val="28"/>
                <w:szCs w:val="28"/>
              </w:rPr>
              <w:t xml:space="preserve">ZVA </w:t>
            </w:r>
            <w:r w:rsidR="00E72C30" w:rsidRPr="00267203">
              <w:rPr>
                <w:sz w:val="28"/>
                <w:szCs w:val="28"/>
              </w:rPr>
              <w:t>jaunās atbildīgās personas vārdu, uzvārdu un datumu, ar kuru atbildīgā persona ir norīkota</w:t>
            </w:r>
            <w:r>
              <w:rPr>
                <w:sz w:val="28"/>
                <w:szCs w:val="28"/>
              </w:rPr>
              <w:t>.</w:t>
            </w:r>
            <w:r w:rsidR="00E72C30" w:rsidRPr="00267203">
              <w:rPr>
                <w:sz w:val="28"/>
                <w:szCs w:val="28"/>
              </w:rPr>
              <w:t xml:space="preserve"> Tā kā prasības un atbildība </w:t>
            </w:r>
            <w:r>
              <w:rPr>
                <w:sz w:val="28"/>
                <w:szCs w:val="28"/>
              </w:rPr>
              <w:t>VADC</w:t>
            </w:r>
            <w:r w:rsidR="00E72C30" w:rsidRPr="00267203">
              <w:rPr>
                <w:sz w:val="28"/>
                <w:szCs w:val="28"/>
              </w:rPr>
              <w:t xml:space="preserve"> un asins sagatavošanas nodaļas atbildīgajai personai ir pielīdzināmas prasībām attiecībā uz zāļu ražotāja vai importētāja kvalificēto personu vai aktīvo vielu ražošanas atbildīgo amatpersonu, tad attiecībā uz </w:t>
            </w:r>
            <w:r>
              <w:rPr>
                <w:sz w:val="28"/>
                <w:szCs w:val="28"/>
              </w:rPr>
              <w:t>VADC</w:t>
            </w:r>
            <w:r w:rsidR="00E72C30" w:rsidRPr="00267203">
              <w:rPr>
                <w:sz w:val="28"/>
                <w:szCs w:val="28"/>
              </w:rPr>
              <w:t xml:space="preserve"> un asins sagatavošanas nodaļas atbildīgo personu ir pamats attiecināt tās prasības, </w:t>
            </w:r>
            <w:r>
              <w:rPr>
                <w:sz w:val="28"/>
                <w:szCs w:val="28"/>
              </w:rPr>
              <w:t>kuras ir</w:t>
            </w:r>
            <w:r w:rsidR="00E72C30" w:rsidRPr="00267203">
              <w:rPr>
                <w:sz w:val="28"/>
                <w:szCs w:val="28"/>
              </w:rPr>
              <w:t xml:space="preserve"> noteiktas Ministru kabineta 2011.</w:t>
            </w:r>
            <w:r>
              <w:rPr>
                <w:sz w:val="28"/>
                <w:szCs w:val="28"/>
              </w:rPr>
              <w:t xml:space="preserve"> </w:t>
            </w:r>
            <w:r w:rsidR="00E72C30" w:rsidRPr="00267203">
              <w:rPr>
                <w:sz w:val="28"/>
                <w:szCs w:val="28"/>
              </w:rPr>
              <w:t>gada 19.</w:t>
            </w:r>
            <w:r>
              <w:rPr>
                <w:sz w:val="28"/>
                <w:szCs w:val="28"/>
              </w:rPr>
              <w:t xml:space="preserve"> </w:t>
            </w:r>
            <w:r w:rsidR="00E72C30" w:rsidRPr="00267203">
              <w:rPr>
                <w:sz w:val="28"/>
                <w:szCs w:val="28"/>
              </w:rPr>
              <w:t>oktobra noteikumu Nr. 800 “Farmaceitiskās darbības licencēšanas kārtība” 77.6</w:t>
            </w:r>
            <w:r>
              <w:rPr>
                <w:sz w:val="28"/>
                <w:szCs w:val="28"/>
              </w:rPr>
              <w:t>.</w:t>
            </w:r>
            <w:r w:rsidR="00E72C30" w:rsidRPr="00267203">
              <w:rPr>
                <w:sz w:val="28"/>
                <w:szCs w:val="28"/>
              </w:rPr>
              <w:t xml:space="preserve"> apakšpunktā</w:t>
            </w:r>
            <w:r>
              <w:rPr>
                <w:sz w:val="28"/>
                <w:szCs w:val="28"/>
              </w:rPr>
              <w:t>,</w:t>
            </w:r>
            <w:r w:rsidR="00E72C30" w:rsidRPr="00267203">
              <w:rPr>
                <w:sz w:val="28"/>
                <w:szCs w:val="28"/>
              </w:rPr>
              <w:t xml:space="preserve"> proti, publicēt </w:t>
            </w:r>
            <w:r>
              <w:rPr>
                <w:sz w:val="28"/>
                <w:szCs w:val="28"/>
              </w:rPr>
              <w:t>ZVA</w:t>
            </w:r>
            <w:r w:rsidR="00E72C30" w:rsidRPr="00267203">
              <w:rPr>
                <w:sz w:val="28"/>
                <w:szCs w:val="28"/>
              </w:rPr>
              <w:t xml:space="preserve"> tīmekļa vietnē zāļu ražotāja vai importētāja kvalificētās personas, vai – attiecībā uz aktīvo vielu ražošanu – atbildīgās amatpersonas vārdu un uzvārdu</w:t>
            </w:r>
            <w:r w:rsidR="006B6C12">
              <w:rPr>
                <w:sz w:val="28"/>
                <w:szCs w:val="28"/>
              </w:rPr>
              <w:t>.</w:t>
            </w:r>
          </w:p>
          <w:p w14:paraId="7A00A9B7" w14:textId="23B46874" w:rsidR="00EF7EA3" w:rsidRPr="006B6C12" w:rsidRDefault="006B6C12" w:rsidP="00A53396">
            <w:pPr>
              <w:pStyle w:val="NormalWeb"/>
              <w:spacing w:before="0" w:beforeAutospacing="0" w:after="120" w:afterAutospacing="0"/>
              <w:ind w:left="176" w:right="74"/>
              <w:jc w:val="both"/>
              <w:rPr>
                <w:i/>
                <w:iCs/>
                <w:sz w:val="28"/>
                <w:szCs w:val="28"/>
              </w:rPr>
            </w:pPr>
            <w:r>
              <w:rPr>
                <w:sz w:val="28"/>
                <w:szCs w:val="28"/>
              </w:rPr>
              <w:t xml:space="preserve">      Tādējādi Projekts paredz, ka ZVA tīmekļvietnē tiek publicēts Noteikumu Nr. 1037 11. punktā </w:t>
            </w:r>
            <w:r w:rsidRPr="00503C97">
              <w:rPr>
                <w:bCs/>
                <w:color w:val="000000" w:themeColor="text1"/>
                <w:sz w:val="28"/>
                <w:szCs w:val="28"/>
              </w:rPr>
              <w:t>minētās atbildīgās personas vārd</w:t>
            </w:r>
            <w:r>
              <w:rPr>
                <w:bCs/>
                <w:color w:val="000000" w:themeColor="text1"/>
                <w:sz w:val="28"/>
                <w:szCs w:val="28"/>
              </w:rPr>
              <w:t>s</w:t>
            </w:r>
            <w:r w:rsidRPr="00503C97">
              <w:rPr>
                <w:bCs/>
                <w:color w:val="000000" w:themeColor="text1"/>
                <w:sz w:val="28"/>
                <w:szCs w:val="28"/>
              </w:rPr>
              <w:t xml:space="preserve"> un uzvārd</w:t>
            </w:r>
            <w:r>
              <w:rPr>
                <w:bCs/>
                <w:color w:val="000000" w:themeColor="text1"/>
                <w:sz w:val="28"/>
                <w:szCs w:val="28"/>
              </w:rPr>
              <w:t>s</w:t>
            </w:r>
            <w:r w:rsidRPr="00503C97">
              <w:rPr>
                <w:bCs/>
                <w:color w:val="000000" w:themeColor="text1"/>
                <w:sz w:val="28"/>
                <w:szCs w:val="28"/>
              </w:rPr>
              <w:t xml:space="preserve"> </w:t>
            </w:r>
            <w:r w:rsidRPr="006B6C12">
              <w:rPr>
                <w:bCs/>
                <w:i/>
                <w:iCs/>
                <w:color w:val="000000" w:themeColor="text1"/>
                <w:sz w:val="28"/>
                <w:szCs w:val="28"/>
              </w:rPr>
              <w:t>(Projekta 3. punkts)</w:t>
            </w:r>
            <w:r w:rsidR="00E72C30" w:rsidRPr="006B6C12">
              <w:rPr>
                <w:i/>
                <w:iCs/>
                <w:sz w:val="28"/>
                <w:szCs w:val="28"/>
              </w:rPr>
              <w:t>.</w:t>
            </w:r>
          </w:p>
          <w:p w14:paraId="2FD8C487" w14:textId="4FCB0F06" w:rsidR="0045145B" w:rsidRDefault="00EF7EA3" w:rsidP="00A53396">
            <w:pPr>
              <w:pStyle w:val="NormalWeb"/>
              <w:spacing w:before="0" w:beforeAutospacing="0" w:after="120" w:afterAutospacing="0"/>
              <w:ind w:left="176" w:right="74"/>
              <w:jc w:val="both"/>
              <w:rPr>
                <w:color w:val="000000" w:themeColor="text1"/>
                <w:sz w:val="28"/>
                <w:szCs w:val="28"/>
              </w:rPr>
            </w:pPr>
            <w:r>
              <w:rPr>
                <w:sz w:val="28"/>
                <w:szCs w:val="28"/>
              </w:rPr>
              <w:t xml:space="preserve">       </w:t>
            </w:r>
            <w:r w:rsidR="00E72C30" w:rsidRPr="00267203">
              <w:rPr>
                <w:sz w:val="28"/>
                <w:szCs w:val="28"/>
              </w:rPr>
              <w:t xml:space="preserve">4. Eiropas Komisijas Direktīvas 2004/33/EK par Eiropas Parlamenta un Padomes Direktīvas 2002/98/EK piemērošanu attiecībā uz dažām tehniskajām prasībām asinīm un asins komponentiem (turpmāk - Direktīva Nr. 2004/33/EK) I pielikumā definēta darbība </w:t>
            </w:r>
            <w:r>
              <w:rPr>
                <w:sz w:val="28"/>
                <w:szCs w:val="28"/>
              </w:rPr>
              <w:t>“s</w:t>
            </w:r>
            <w:r w:rsidR="00E72C30" w:rsidRPr="00267203">
              <w:rPr>
                <w:sz w:val="28"/>
                <w:szCs w:val="28"/>
              </w:rPr>
              <w:t>kalošana</w:t>
            </w:r>
            <w:r>
              <w:rPr>
                <w:sz w:val="28"/>
                <w:szCs w:val="28"/>
              </w:rPr>
              <w:t>”</w:t>
            </w:r>
            <w:r w:rsidR="00E72C30" w:rsidRPr="00267203">
              <w:rPr>
                <w:sz w:val="28"/>
                <w:szCs w:val="28"/>
              </w:rPr>
              <w:t xml:space="preserve">. Tas ir process, kurā atdala plazmu vai glabāšanas vidi no šūnu produktiem, centrifugējot un dekantējot nostādināto šķidrumu no šūnām, un pievienojot izotonisko suspensijas šķidrumu, kas savukārt tiek pilnībā atdalīts un aizstāts pēc suspensijas papildu centrifugēšanas. Centrifugēšanas, dekantēšanas, aizstāšanas procesu var </w:t>
            </w:r>
            <w:r w:rsidR="00E72C30" w:rsidRPr="00267203">
              <w:rPr>
                <w:sz w:val="28"/>
                <w:szCs w:val="28"/>
              </w:rPr>
              <w:lastRenderedPageBreak/>
              <w:t xml:space="preserve">atkārtot vairākas reizes, </w:t>
            </w:r>
            <w:r w:rsidR="0045145B">
              <w:rPr>
                <w:sz w:val="28"/>
                <w:szCs w:val="28"/>
              </w:rPr>
              <w:t>kā</w:t>
            </w:r>
            <w:r w:rsidR="00E72C30" w:rsidRPr="00267203">
              <w:rPr>
                <w:sz w:val="28"/>
                <w:szCs w:val="28"/>
              </w:rPr>
              <w:t xml:space="preserve"> rezultātā tiek sagatavota ,,atmazgāta eritrocītu masa</w:t>
            </w:r>
            <w:r w:rsidR="0045145B">
              <w:rPr>
                <w:sz w:val="28"/>
                <w:szCs w:val="28"/>
              </w:rPr>
              <w:t xml:space="preserve">”. Ņemot vērā to, ka </w:t>
            </w:r>
            <w:r w:rsidR="00E72C30" w:rsidRPr="00267203">
              <w:rPr>
                <w:sz w:val="28"/>
                <w:szCs w:val="28"/>
              </w:rPr>
              <w:t>Noteikumu Nr.</w:t>
            </w:r>
            <w:r w:rsidR="0045145B">
              <w:rPr>
                <w:sz w:val="28"/>
                <w:szCs w:val="28"/>
              </w:rPr>
              <w:t xml:space="preserve"> </w:t>
            </w:r>
            <w:r w:rsidR="00E72C30" w:rsidRPr="00267203">
              <w:rPr>
                <w:sz w:val="28"/>
                <w:szCs w:val="28"/>
              </w:rPr>
              <w:t xml:space="preserve">1037 II pielikumā </w:t>
            </w:r>
            <w:r w:rsidR="0045145B">
              <w:rPr>
                <w:sz w:val="28"/>
                <w:szCs w:val="28"/>
              </w:rPr>
              <w:t xml:space="preserve">šobrīd </w:t>
            </w:r>
            <w:r w:rsidR="00E72C30" w:rsidRPr="00267203">
              <w:rPr>
                <w:sz w:val="28"/>
                <w:szCs w:val="28"/>
              </w:rPr>
              <w:t xml:space="preserve">nav noteiktas </w:t>
            </w:r>
            <w:r w:rsidR="0045145B" w:rsidRPr="00267203">
              <w:rPr>
                <w:sz w:val="28"/>
                <w:szCs w:val="28"/>
              </w:rPr>
              <w:t xml:space="preserve">kvalitātes un drošības kontroles prasības </w:t>
            </w:r>
            <w:r w:rsidR="00E72C30" w:rsidRPr="00267203">
              <w:rPr>
                <w:sz w:val="28"/>
                <w:szCs w:val="28"/>
              </w:rPr>
              <w:t>šim asins komponentam</w:t>
            </w:r>
            <w:r w:rsidR="0045145B">
              <w:rPr>
                <w:sz w:val="28"/>
                <w:szCs w:val="28"/>
              </w:rPr>
              <w:t>, P</w:t>
            </w:r>
            <w:r w:rsidR="00E72C30" w:rsidRPr="00267203">
              <w:rPr>
                <w:bCs/>
                <w:sz w:val="28"/>
                <w:szCs w:val="28"/>
              </w:rPr>
              <w:t>rojekt</w:t>
            </w:r>
            <w:r w:rsidR="0045145B">
              <w:rPr>
                <w:bCs/>
                <w:sz w:val="28"/>
                <w:szCs w:val="28"/>
              </w:rPr>
              <w:t>s</w:t>
            </w:r>
            <w:r w:rsidR="00E72C30" w:rsidRPr="00267203">
              <w:rPr>
                <w:bCs/>
                <w:sz w:val="28"/>
                <w:szCs w:val="28"/>
              </w:rPr>
              <w:t xml:space="preserve"> </w:t>
            </w:r>
            <w:r w:rsidR="0045145B">
              <w:rPr>
                <w:sz w:val="28"/>
                <w:szCs w:val="28"/>
              </w:rPr>
              <w:t>paredz</w:t>
            </w:r>
            <w:r w:rsidR="00E72C30" w:rsidRPr="00267203">
              <w:rPr>
                <w:sz w:val="28"/>
                <w:szCs w:val="28"/>
              </w:rPr>
              <w:t xml:space="preserve"> atsauc</w:t>
            </w:r>
            <w:r w:rsidR="0045145B">
              <w:rPr>
                <w:sz w:val="28"/>
                <w:szCs w:val="28"/>
              </w:rPr>
              <w:t>i</w:t>
            </w:r>
            <w:r w:rsidR="00E72C30" w:rsidRPr="00267203">
              <w:rPr>
                <w:sz w:val="28"/>
                <w:szCs w:val="28"/>
              </w:rPr>
              <w:t xml:space="preserve"> uz Eiropas Komisijas un Eiropas Zāļu kvalitātes un veselības aprūpes direktorāta </w:t>
            </w:r>
            <w:r w:rsidR="0045145B">
              <w:rPr>
                <w:sz w:val="28"/>
                <w:szCs w:val="28"/>
              </w:rPr>
              <w:t xml:space="preserve">norāžu </w:t>
            </w:r>
            <w:r w:rsidR="00E72C30" w:rsidRPr="00267203">
              <w:rPr>
                <w:sz w:val="28"/>
                <w:szCs w:val="28"/>
              </w:rPr>
              <w:t>,,Norā</w:t>
            </w:r>
            <w:r w:rsidR="0045145B">
              <w:rPr>
                <w:sz w:val="28"/>
                <w:szCs w:val="28"/>
              </w:rPr>
              <w:t>des</w:t>
            </w:r>
            <w:r w:rsidR="00E72C30" w:rsidRPr="00267203">
              <w:rPr>
                <w:sz w:val="28"/>
                <w:szCs w:val="28"/>
              </w:rPr>
              <w:t xml:space="preserve">  asins komponentu pagatavošanai, izmantošanai un kvalitātes nodrošināšanai” aktuālo izdevumu, kas papildina un/vai nosaka stingrākas kvalitātes prasības  asins komponentiem</w:t>
            </w:r>
            <w:r w:rsidR="00C82897">
              <w:rPr>
                <w:sz w:val="28"/>
                <w:szCs w:val="28"/>
              </w:rPr>
              <w:t xml:space="preserve"> </w:t>
            </w:r>
            <w:r w:rsidR="00C82897" w:rsidRPr="00C82897">
              <w:rPr>
                <w:i/>
                <w:iCs/>
                <w:sz w:val="28"/>
                <w:szCs w:val="28"/>
              </w:rPr>
              <w:t>(Projekta 4. punkts)</w:t>
            </w:r>
            <w:r w:rsidR="00E72C30" w:rsidRPr="00C82897">
              <w:rPr>
                <w:i/>
                <w:iCs/>
                <w:sz w:val="28"/>
                <w:szCs w:val="28"/>
              </w:rPr>
              <w:t>.</w:t>
            </w:r>
            <w:r w:rsidR="00E72C30" w:rsidRPr="00267203">
              <w:rPr>
                <w:color w:val="000000" w:themeColor="text1"/>
                <w:sz w:val="28"/>
                <w:szCs w:val="28"/>
              </w:rPr>
              <w:t xml:space="preserve"> Direktīva 2002/98/EK arī nosaka, ka dalībvalstīm var atļaut stingrāku aizsardzības pasākumu uzturēšanu vai ieviešanu attiecībā uz asins un asins komponentu kvalitātes un drošības standartiem.</w:t>
            </w:r>
          </w:p>
          <w:p w14:paraId="64AB35AE" w14:textId="6CBFF0AF" w:rsidR="009F7B1B" w:rsidRDefault="009F7B1B" w:rsidP="00A53396">
            <w:pPr>
              <w:pStyle w:val="NormalWeb"/>
              <w:spacing w:before="0" w:beforeAutospacing="0" w:after="120" w:afterAutospacing="0"/>
              <w:ind w:left="176" w:right="74"/>
              <w:jc w:val="both"/>
              <w:rPr>
                <w:color w:val="000000" w:themeColor="text1"/>
                <w:sz w:val="28"/>
                <w:szCs w:val="28"/>
              </w:rPr>
            </w:pPr>
            <w:r>
              <w:rPr>
                <w:color w:val="000000" w:themeColor="text1"/>
                <w:sz w:val="28"/>
                <w:szCs w:val="28"/>
              </w:rPr>
              <w:t xml:space="preserve">        5.</w:t>
            </w:r>
            <w:r>
              <w:rPr>
                <w:color w:val="000000" w:themeColor="text1"/>
                <w:sz w:val="28"/>
                <w:szCs w:val="28"/>
              </w:rPr>
              <w:t xml:space="preserve">    </w:t>
            </w:r>
            <w:r w:rsidRPr="00267203">
              <w:rPr>
                <w:bCs/>
                <w:sz w:val="28"/>
                <w:szCs w:val="28"/>
              </w:rPr>
              <w:t>Direktīva 2002/98/EK</w:t>
            </w:r>
            <w:r w:rsidRPr="00267203">
              <w:rPr>
                <w:sz w:val="28"/>
                <w:szCs w:val="28"/>
              </w:rPr>
              <w:t xml:space="preserve"> nosaka, ka</w:t>
            </w:r>
            <w:r>
              <w:rPr>
                <w:sz w:val="28"/>
                <w:szCs w:val="28"/>
              </w:rPr>
              <w:t>,</w:t>
            </w:r>
            <w:r w:rsidRPr="00267203">
              <w:rPr>
                <w:sz w:val="28"/>
                <w:szCs w:val="28"/>
              </w:rPr>
              <w:t xml:space="preserve"> asinis </w:t>
            </w:r>
            <w:r>
              <w:rPr>
                <w:sz w:val="28"/>
                <w:szCs w:val="28"/>
              </w:rPr>
              <w:t xml:space="preserve">un </w:t>
            </w:r>
            <w:r w:rsidRPr="00267203">
              <w:rPr>
                <w:sz w:val="28"/>
                <w:szCs w:val="28"/>
              </w:rPr>
              <w:t>asins komponentus savācot, apstrādājot, izplatot un lietojot</w:t>
            </w:r>
            <w:r>
              <w:rPr>
                <w:sz w:val="28"/>
                <w:szCs w:val="28"/>
              </w:rPr>
              <w:t>,</w:t>
            </w:r>
            <w:r w:rsidRPr="00267203">
              <w:rPr>
                <w:sz w:val="28"/>
                <w:szCs w:val="28"/>
              </w:rPr>
              <w:t xml:space="preserve"> jāievēro visi piesardzības pasākumi, atbilstoši zinātnes attīstībai asins pārliešanas transmisīvo slimības izraisītāju noteikšanā, inaktivēšanā un likvidēšanā.</w:t>
            </w:r>
            <w:r>
              <w:rPr>
                <w:sz w:val="28"/>
                <w:szCs w:val="28"/>
              </w:rPr>
              <w:t xml:space="preserve"> </w:t>
            </w:r>
            <w:r w:rsidRPr="00267203">
              <w:rPr>
                <w:sz w:val="28"/>
                <w:szCs w:val="28"/>
              </w:rPr>
              <w:t xml:space="preserve">Direktīva 2002/98/EK arī nosaka, ka dalībvalstīm var atļaut stingrāku aizsardzības pasākumu uzturēšanu vai ieviešanu attiecībā uz asins un asins komponentu kvalitātes un drošības standartiem. Lai pastiprinātu pārliecību par asins pārliešanas ķēdes drošību, </w:t>
            </w:r>
            <w:r>
              <w:rPr>
                <w:sz w:val="28"/>
                <w:szCs w:val="28"/>
              </w:rPr>
              <w:t xml:space="preserve">Projekts paredz papildināt </w:t>
            </w:r>
            <w:r w:rsidRPr="00267203">
              <w:rPr>
                <w:sz w:val="28"/>
                <w:szCs w:val="28"/>
              </w:rPr>
              <w:t>Noteikumu</w:t>
            </w:r>
            <w:r>
              <w:rPr>
                <w:sz w:val="28"/>
                <w:szCs w:val="28"/>
              </w:rPr>
              <w:t>s</w:t>
            </w:r>
            <w:r w:rsidRPr="00267203">
              <w:rPr>
                <w:sz w:val="28"/>
                <w:szCs w:val="28"/>
              </w:rPr>
              <w:t xml:space="preserve"> Nr. 1037</w:t>
            </w:r>
            <w:r>
              <w:rPr>
                <w:sz w:val="28"/>
                <w:szCs w:val="28"/>
              </w:rPr>
              <w:t xml:space="preserve"> </w:t>
            </w:r>
            <w:r w:rsidRPr="00267203">
              <w:rPr>
                <w:sz w:val="28"/>
                <w:szCs w:val="28"/>
              </w:rPr>
              <w:t>ar 17.3</w:t>
            </w:r>
            <w:r w:rsidRPr="00267203">
              <w:rPr>
                <w:sz w:val="28"/>
                <w:szCs w:val="28"/>
                <w:vertAlign w:val="superscript"/>
              </w:rPr>
              <w:t>1</w:t>
            </w:r>
            <w:r>
              <w:rPr>
                <w:sz w:val="28"/>
                <w:szCs w:val="28"/>
                <w:vertAlign w:val="superscript"/>
              </w:rPr>
              <w:t xml:space="preserve"> </w:t>
            </w:r>
            <w:r w:rsidRPr="00267203">
              <w:rPr>
                <w:sz w:val="28"/>
                <w:szCs w:val="28"/>
              </w:rPr>
              <w:t xml:space="preserve">apakšpunktu, </w:t>
            </w:r>
            <w:r>
              <w:rPr>
                <w:sz w:val="28"/>
                <w:szCs w:val="28"/>
              </w:rPr>
              <w:t>paredzot</w:t>
            </w:r>
            <w:r w:rsidRPr="00267203">
              <w:rPr>
                <w:sz w:val="28"/>
                <w:szCs w:val="28"/>
              </w:rPr>
              <w:t xml:space="preserve"> vis</w:t>
            </w:r>
            <w:r>
              <w:rPr>
                <w:sz w:val="28"/>
                <w:szCs w:val="28"/>
              </w:rPr>
              <w:t>as</w:t>
            </w:r>
            <w:r w:rsidRPr="00267203">
              <w:rPr>
                <w:sz w:val="28"/>
                <w:szCs w:val="28"/>
              </w:rPr>
              <w:t xml:space="preserve"> sagatavot</w:t>
            </w:r>
            <w:r>
              <w:rPr>
                <w:sz w:val="28"/>
                <w:szCs w:val="28"/>
              </w:rPr>
              <w:t>ās</w:t>
            </w:r>
            <w:r w:rsidRPr="00267203">
              <w:rPr>
                <w:sz w:val="28"/>
                <w:szCs w:val="28"/>
              </w:rPr>
              <w:t xml:space="preserve"> eritrocītu mas</w:t>
            </w:r>
            <w:r>
              <w:rPr>
                <w:sz w:val="28"/>
                <w:szCs w:val="28"/>
              </w:rPr>
              <w:t>as</w:t>
            </w:r>
            <w:r w:rsidRPr="00267203">
              <w:rPr>
                <w:sz w:val="28"/>
                <w:szCs w:val="28"/>
              </w:rPr>
              <w:t xml:space="preserve"> leikocītu filtrāciju, tādējādi samazinot pēctransfūziju blaknes recipientiem</w:t>
            </w:r>
            <w:r>
              <w:rPr>
                <w:sz w:val="28"/>
                <w:szCs w:val="28"/>
              </w:rPr>
              <w:t xml:space="preserve"> </w:t>
            </w:r>
            <w:r w:rsidRPr="004C4877">
              <w:rPr>
                <w:i/>
                <w:iCs/>
                <w:sz w:val="28"/>
                <w:szCs w:val="28"/>
              </w:rPr>
              <w:t xml:space="preserve">(Projekta </w:t>
            </w:r>
            <w:r>
              <w:rPr>
                <w:i/>
                <w:iCs/>
                <w:sz w:val="28"/>
                <w:szCs w:val="28"/>
              </w:rPr>
              <w:t>5</w:t>
            </w:r>
            <w:r w:rsidRPr="004C4877">
              <w:rPr>
                <w:i/>
                <w:iCs/>
                <w:sz w:val="28"/>
                <w:szCs w:val="28"/>
              </w:rPr>
              <w:t>. punkts)</w:t>
            </w:r>
            <w:r w:rsidRPr="00267203">
              <w:rPr>
                <w:sz w:val="28"/>
                <w:szCs w:val="28"/>
              </w:rPr>
              <w:t>.</w:t>
            </w:r>
            <w:r w:rsidRPr="00503C97">
              <w:rPr>
                <w:sz w:val="28"/>
                <w:szCs w:val="28"/>
                <w:lang w:bidi="en-US"/>
              </w:rPr>
              <w:t xml:space="preserve"> </w:t>
            </w:r>
          </w:p>
          <w:p w14:paraId="04D2E332" w14:textId="407B1493" w:rsidR="00E4172B" w:rsidRDefault="0045145B" w:rsidP="00A53396">
            <w:pPr>
              <w:pStyle w:val="NormalWeb"/>
              <w:spacing w:before="0" w:beforeAutospacing="0" w:after="120" w:afterAutospacing="0"/>
              <w:ind w:left="176" w:right="74"/>
              <w:jc w:val="both"/>
              <w:rPr>
                <w:sz w:val="28"/>
                <w:szCs w:val="28"/>
              </w:rPr>
            </w:pPr>
            <w:r>
              <w:rPr>
                <w:color w:val="000000" w:themeColor="text1"/>
                <w:sz w:val="28"/>
                <w:szCs w:val="28"/>
              </w:rPr>
              <w:t xml:space="preserve">       </w:t>
            </w:r>
            <w:r w:rsidR="009F7B1B">
              <w:rPr>
                <w:color w:val="000000" w:themeColor="text1"/>
                <w:sz w:val="28"/>
                <w:szCs w:val="28"/>
              </w:rPr>
              <w:t>6</w:t>
            </w:r>
            <w:r w:rsidR="00E72C30" w:rsidRPr="00267203">
              <w:rPr>
                <w:bCs/>
                <w:sz w:val="28"/>
                <w:szCs w:val="28"/>
              </w:rPr>
              <w:t>.</w:t>
            </w:r>
            <w:r w:rsidR="00E72C30" w:rsidRPr="00267203">
              <w:rPr>
                <w:sz w:val="28"/>
                <w:szCs w:val="28"/>
              </w:rPr>
              <w:t xml:space="preserve"> </w:t>
            </w:r>
            <w:r>
              <w:rPr>
                <w:sz w:val="28"/>
                <w:szCs w:val="28"/>
              </w:rPr>
              <w:t xml:space="preserve">Lai izstrādātu </w:t>
            </w:r>
            <w:r w:rsidRPr="00267203">
              <w:rPr>
                <w:sz w:val="28"/>
                <w:szCs w:val="28"/>
              </w:rPr>
              <w:t>rekomendācijas</w:t>
            </w:r>
            <w:r w:rsidRPr="00267203">
              <w:rPr>
                <w:bCs/>
                <w:sz w:val="28"/>
                <w:szCs w:val="28"/>
              </w:rPr>
              <w:t xml:space="preserve"> VADC, asins sagatavošanas nodaļām un asins kabinetiem par laboratorisko izmeklējumu rezultātu interpretāciju un informācijas sniegšanu</w:t>
            </w:r>
            <w:r>
              <w:rPr>
                <w:bCs/>
                <w:sz w:val="28"/>
                <w:szCs w:val="28"/>
              </w:rPr>
              <w:t>,</w:t>
            </w:r>
            <w:r w:rsidRPr="00267203">
              <w:rPr>
                <w:sz w:val="28"/>
                <w:szCs w:val="28"/>
              </w:rPr>
              <w:t xml:space="preserve"> </w:t>
            </w:r>
            <w:r w:rsidR="00E72C30" w:rsidRPr="00267203">
              <w:rPr>
                <w:sz w:val="28"/>
                <w:szCs w:val="28"/>
              </w:rPr>
              <w:t>Veselības ministrijā</w:t>
            </w:r>
            <w:r>
              <w:rPr>
                <w:sz w:val="28"/>
                <w:szCs w:val="28"/>
              </w:rPr>
              <w:t xml:space="preserve"> </w:t>
            </w:r>
            <w:r w:rsidR="00E72C30" w:rsidRPr="00267203">
              <w:rPr>
                <w:sz w:val="28"/>
                <w:szCs w:val="28"/>
              </w:rPr>
              <w:t xml:space="preserve">ar </w:t>
            </w:r>
            <w:r>
              <w:rPr>
                <w:sz w:val="28"/>
                <w:szCs w:val="28"/>
              </w:rPr>
              <w:t>2017. gada 11. janvāra</w:t>
            </w:r>
            <w:r w:rsidR="00E72C30" w:rsidRPr="00267203">
              <w:rPr>
                <w:sz w:val="28"/>
                <w:szCs w:val="28"/>
              </w:rPr>
              <w:t xml:space="preserve"> rīkojumu Nr.</w:t>
            </w:r>
            <w:r>
              <w:rPr>
                <w:sz w:val="28"/>
                <w:szCs w:val="28"/>
              </w:rPr>
              <w:t xml:space="preserve"> </w:t>
            </w:r>
            <w:r w:rsidR="00E72C30" w:rsidRPr="00267203">
              <w:rPr>
                <w:sz w:val="28"/>
                <w:szCs w:val="28"/>
              </w:rPr>
              <w:t>10 tika  izveidota darba grup</w:t>
            </w:r>
            <w:r>
              <w:rPr>
                <w:sz w:val="28"/>
                <w:szCs w:val="28"/>
              </w:rPr>
              <w:t>a</w:t>
            </w:r>
            <w:r w:rsidR="00E72C30" w:rsidRPr="00267203">
              <w:rPr>
                <w:sz w:val="28"/>
                <w:szCs w:val="28"/>
              </w:rPr>
              <w:t xml:space="preserve"> </w:t>
            </w:r>
            <w:r w:rsidR="00E72C30" w:rsidRPr="00267203">
              <w:rPr>
                <w:i/>
                <w:iCs/>
                <w:sz w:val="28"/>
                <w:szCs w:val="28"/>
              </w:rPr>
              <w:t>“Par asins komponentu drošību un donoru epidemioloģisko uzraudzību”</w:t>
            </w:r>
            <w:r>
              <w:rPr>
                <w:i/>
                <w:iCs/>
                <w:sz w:val="28"/>
                <w:szCs w:val="28"/>
              </w:rPr>
              <w:t xml:space="preserve">. </w:t>
            </w:r>
            <w:r w:rsidRPr="0045145B">
              <w:rPr>
                <w:sz w:val="28"/>
                <w:szCs w:val="28"/>
              </w:rPr>
              <w:t>Darba grupas izstrādāto</w:t>
            </w:r>
            <w:r w:rsidR="00E72C30" w:rsidRPr="00267203">
              <w:rPr>
                <w:bCs/>
                <w:sz w:val="28"/>
                <w:szCs w:val="28"/>
              </w:rPr>
              <w:t xml:space="preserve"> </w:t>
            </w:r>
            <w:r>
              <w:rPr>
                <w:bCs/>
                <w:sz w:val="28"/>
                <w:szCs w:val="28"/>
              </w:rPr>
              <w:t>r</w:t>
            </w:r>
            <w:r w:rsidR="00E72C30" w:rsidRPr="00267203">
              <w:rPr>
                <w:bCs/>
                <w:sz w:val="28"/>
                <w:szCs w:val="28"/>
              </w:rPr>
              <w:t xml:space="preserve">ekomendāciju </w:t>
            </w:r>
            <w:r w:rsidR="00E72C30" w:rsidRPr="00267203">
              <w:rPr>
                <w:sz w:val="28"/>
                <w:szCs w:val="28"/>
              </w:rPr>
              <w:t>9.</w:t>
            </w:r>
            <w:r>
              <w:rPr>
                <w:sz w:val="28"/>
                <w:szCs w:val="28"/>
              </w:rPr>
              <w:t xml:space="preserve"> </w:t>
            </w:r>
            <w:r w:rsidR="00E72C30" w:rsidRPr="00267203">
              <w:rPr>
                <w:sz w:val="28"/>
                <w:szCs w:val="28"/>
              </w:rPr>
              <w:t xml:space="preserve">punktā ir noteikts, ka VADC informē donoru vai viņa ģimenes ārstu (atkarībā no donora izvēles pirms donācijas), ja skrīninga vai apstiprinošā testā ir konstatēts HIV infekcijas, B hepatīta, C hepatīta vai sifilisa marķieris, nosūtot testēšanas pārskatu ar ierakstītu pavadvēstuli. </w:t>
            </w:r>
            <w:r>
              <w:rPr>
                <w:sz w:val="28"/>
                <w:szCs w:val="28"/>
              </w:rPr>
              <w:t>Ņemot vērā minēto, Projekts Nr. 1037</w:t>
            </w:r>
            <w:r w:rsidR="00E72C30" w:rsidRPr="00267203">
              <w:rPr>
                <w:sz w:val="28"/>
                <w:szCs w:val="28"/>
              </w:rPr>
              <w:t xml:space="preserve"> </w:t>
            </w:r>
            <w:r>
              <w:rPr>
                <w:sz w:val="28"/>
                <w:szCs w:val="28"/>
              </w:rPr>
              <w:t xml:space="preserve">paredz </w:t>
            </w:r>
            <w:r w:rsidR="00177F97">
              <w:rPr>
                <w:sz w:val="28"/>
                <w:szCs w:val="28"/>
              </w:rPr>
              <w:t>precizēt</w:t>
            </w:r>
            <w:r w:rsidR="00E72C30" w:rsidRPr="00267203">
              <w:rPr>
                <w:sz w:val="28"/>
                <w:szCs w:val="28"/>
              </w:rPr>
              <w:t xml:space="preserve"> Noteikumu Nr. 1037 17.5. apakšpunktu, nosakot, ka turpmāk VADC, atkarībā no donora izvēles pirms donācijas, var</w:t>
            </w:r>
            <w:r>
              <w:rPr>
                <w:sz w:val="28"/>
                <w:szCs w:val="28"/>
              </w:rPr>
              <w:t>ēs</w:t>
            </w:r>
            <w:r w:rsidR="00E72C30" w:rsidRPr="00267203">
              <w:rPr>
                <w:sz w:val="28"/>
                <w:szCs w:val="28"/>
              </w:rPr>
              <w:t xml:space="preserve"> informēt  ne tikai  donoru, bet arī viņa ģimenes ārstu</w:t>
            </w:r>
            <w:r w:rsidR="00177F97">
              <w:rPr>
                <w:sz w:val="28"/>
                <w:szCs w:val="28"/>
              </w:rPr>
              <w:t xml:space="preserve"> </w:t>
            </w:r>
            <w:r w:rsidR="00177F97" w:rsidRPr="00177F97">
              <w:rPr>
                <w:i/>
                <w:iCs/>
                <w:sz w:val="28"/>
                <w:szCs w:val="28"/>
              </w:rPr>
              <w:t xml:space="preserve">(Projekta </w:t>
            </w:r>
            <w:r w:rsidR="009F7B1B">
              <w:rPr>
                <w:i/>
                <w:iCs/>
                <w:sz w:val="28"/>
                <w:szCs w:val="28"/>
              </w:rPr>
              <w:t>6</w:t>
            </w:r>
            <w:r w:rsidR="00177F97" w:rsidRPr="00177F97">
              <w:rPr>
                <w:i/>
                <w:iCs/>
                <w:sz w:val="28"/>
                <w:szCs w:val="28"/>
              </w:rPr>
              <w:t>. punkts)</w:t>
            </w:r>
            <w:r w:rsidR="00E72C30" w:rsidRPr="00267203">
              <w:rPr>
                <w:sz w:val="28"/>
                <w:szCs w:val="28"/>
              </w:rPr>
              <w:t>.</w:t>
            </w:r>
          </w:p>
          <w:p w14:paraId="4A9FE29C" w14:textId="39323C77" w:rsidR="00A53396" w:rsidRDefault="00E4172B" w:rsidP="00A53396">
            <w:pPr>
              <w:pStyle w:val="NormalWeb"/>
              <w:spacing w:before="0" w:beforeAutospacing="0" w:after="120" w:afterAutospacing="0"/>
              <w:ind w:left="176" w:right="74"/>
              <w:jc w:val="both"/>
              <w:rPr>
                <w:sz w:val="28"/>
                <w:szCs w:val="28"/>
              </w:rPr>
            </w:pPr>
            <w:r>
              <w:rPr>
                <w:sz w:val="28"/>
                <w:szCs w:val="28"/>
              </w:rPr>
              <w:t xml:space="preserve">      </w:t>
            </w:r>
            <w:r w:rsidR="009F7B1B">
              <w:rPr>
                <w:bCs/>
                <w:sz w:val="28"/>
                <w:szCs w:val="28"/>
              </w:rPr>
              <w:t>7</w:t>
            </w:r>
            <w:r w:rsidR="00E72C30" w:rsidRPr="00267203">
              <w:rPr>
                <w:bCs/>
                <w:sz w:val="28"/>
                <w:szCs w:val="28"/>
              </w:rPr>
              <w:t>.</w:t>
            </w:r>
            <w:r w:rsidR="00E72C30" w:rsidRPr="00267203">
              <w:rPr>
                <w:sz w:val="28"/>
                <w:szCs w:val="28"/>
              </w:rPr>
              <w:t xml:space="preserve"> VADC un asins sagatavošanas nodaļas savā darbībā vadās  ne tikai pēc kvalitātes sistēmas standartiem  un specifikācijām, </w:t>
            </w:r>
            <w:r w:rsidR="008F4869">
              <w:rPr>
                <w:sz w:val="28"/>
                <w:szCs w:val="28"/>
              </w:rPr>
              <w:t xml:space="preserve">kuras ir </w:t>
            </w:r>
            <w:r w:rsidR="00E72C30" w:rsidRPr="00267203">
              <w:rPr>
                <w:sz w:val="28"/>
                <w:szCs w:val="28"/>
              </w:rPr>
              <w:t xml:space="preserve">noteiktas  </w:t>
            </w:r>
            <w:r>
              <w:rPr>
                <w:sz w:val="28"/>
                <w:szCs w:val="28"/>
              </w:rPr>
              <w:t xml:space="preserve">Noteikumu Nr. 1037 </w:t>
            </w:r>
            <w:r w:rsidR="00E72C30" w:rsidRPr="00267203">
              <w:rPr>
                <w:sz w:val="28"/>
                <w:szCs w:val="28"/>
              </w:rPr>
              <w:t xml:space="preserve">6. pielikumā, bet arī izmanto Eiropas Komisijas un Eiropas Padomes Eiropas Zāļu kvalitātes un veselības aprūpes direktorāta kopīgi izstrādātās Labas prakses pamatnostādnes. </w:t>
            </w:r>
            <w:r w:rsidR="00A53396">
              <w:rPr>
                <w:sz w:val="28"/>
                <w:szCs w:val="28"/>
              </w:rPr>
              <w:t xml:space="preserve">Ņemot vērā, ka </w:t>
            </w:r>
            <w:r w:rsidR="00E72C30" w:rsidRPr="00267203">
              <w:rPr>
                <w:sz w:val="28"/>
                <w:szCs w:val="28"/>
              </w:rPr>
              <w:t>17.7. apakšpunktā noteiktās prasības tiek pielīdzinātas un likumsakarīgi izriet no šo noteikumu 15. punkta</w:t>
            </w:r>
            <w:r w:rsidR="00A53396">
              <w:rPr>
                <w:sz w:val="28"/>
                <w:szCs w:val="28"/>
              </w:rPr>
              <w:t>, ir atbilstoši precizēts 17.7. apakšpunkts</w:t>
            </w:r>
            <w:r w:rsidR="00F66CA2">
              <w:rPr>
                <w:sz w:val="28"/>
                <w:szCs w:val="28"/>
              </w:rPr>
              <w:t xml:space="preserve"> </w:t>
            </w:r>
            <w:r w:rsidR="00F66CA2" w:rsidRPr="009F7B1B">
              <w:rPr>
                <w:i/>
                <w:iCs/>
                <w:sz w:val="28"/>
                <w:szCs w:val="28"/>
              </w:rPr>
              <w:t xml:space="preserve">(Projekta </w:t>
            </w:r>
            <w:r w:rsidR="009F7B1B" w:rsidRPr="009F7B1B">
              <w:rPr>
                <w:i/>
                <w:iCs/>
                <w:sz w:val="28"/>
                <w:szCs w:val="28"/>
              </w:rPr>
              <w:t>7</w:t>
            </w:r>
            <w:r w:rsidR="00F66CA2" w:rsidRPr="009F7B1B">
              <w:rPr>
                <w:i/>
                <w:iCs/>
                <w:sz w:val="28"/>
                <w:szCs w:val="28"/>
              </w:rPr>
              <w:t>. punkts)</w:t>
            </w:r>
            <w:r w:rsidR="00A53396">
              <w:rPr>
                <w:sz w:val="28"/>
                <w:szCs w:val="28"/>
              </w:rPr>
              <w:t>.</w:t>
            </w:r>
          </w:p>
          <w:p w14:paraId="6E7A7E67" w14:textId="77777777" w:rsidR="009E139D" w:rsidRPr="000E727B" w:rsidRDefault="005F2E79" w:rsidP="009E139D">
            <w:pPr>
              <w:pStyle w:val="NormalWeb"/>
              <w:spacing w:before="0" w:beforeAutospacing="0" w:after="0" w:afterAutospacing="0"/>
              <w:ind w:left="176" w:right="74"/>
              <w:jc w:val="both"/>
              <w:rPr>
                <w:sz w:val="28"/>
                <w:szCs w:val="28"/>
              </w:rPr>
            </w:pPr>
            <w:r>
              <w:rPr>
                <w:color w:val="000000" w:themeColor="text1"/>
                <w:sz w:val="28"/>
                <w:szCs w:val="28"/>
              </w:rPr>
              <w:lastRenderedPageBreak/>
              <w:t xml:space="preserve">     </w:t>
            </w:r>
            <w:r w:rsidR="00E72C30" w:rsidRPr="00267203">
              <w:rPr>
                <w:color w:val="000000" w:themeColor="text1"/>
                <w:sz w:val="28"/>
                <w:szCs w:val="28"/>
              </w:rPr>
              <w:t>8.</w:t>
            </w:r>
            <w:r w:rsidR="00E72C30" w:rsidRPr="00267203">
              <w:rPr>
                <w:sz w:val="28"/>
                <w:szCs w:val="28"/>
              </w:rPr>
              <w:t xml:space="preserve"> </w:t>
            </w:r>
            <w:r w:rsidR="009E139D" w:rsidRPr="000E727B">
              <w:rPr>
                <w:sz w:val="28"/>
                <w:szCs w:val="28"/>
              </w:rPr>
              <w:t xml:space="preserve">Atbilstoši Direktīvas 2002/98/EK preambulai,  </w:t>
            </w:r>
            <w:r w:rsidR="009E139D" w:rsidRPr="000E727B">
              <w:rPr>
                <w:sz w:val="28"/>
                <w:szCs w:val="28"/>
                <w:shd w:val="clear" w:color="auto" w:fill="FFFFFF"/>
              </w:rPr>
              <w:t>dalībvalstīm ir jāveic pasākumi, kas veicinātu Eiropas Kopienas pašnodrošinātību ar cilvēka asinīm vai asins komponentiem, kā arī asins un asins komponentu brīvprātīgu bezmaksas ziedošanu.</w:t>
            </w:r>
          </w:p>
          <w:p w14:paraId="4FF61AFC" w14:textId="3514DB27" w:rsidR="009E139D" w:rsidRPr="000B3B62" w:rsidRDefault="009E139D" w:rsidP="00C4404F">
            <w:pPr>
              <w:pStyle w:val="NormalWeb"/>
              <w:spacing w:before="0" w:beforeAutospacing="0" w:after="120" w:afterAutospacing="0"/>
              <w:ind w:left="176" w:right="74"/>
              <w:jc w:val="both"/>
              <w:rPr>
                <w:i/>
                <w:iCs/>
                <w:sz w:val="28"/>
                <w:szCs w:val="28"/>
              </w:rPr>
            </w:pPr>
            <w:r w:rsidRPr="000E727B">
              <w:rPr>
                <w:sz w:val="28"/>
                <w:szCs w:val="28"/>
              </w:rPr>
              <w:t xml:space="preserve">       Ņemot vērā minēto, </w:t>
            </w:r>
            <w:r w:rsidR="00A2706E" w:rsidRPr="000E727B">
              <w:rPr>
                <w:sz w:val="28"/>
                <w:szCs w:val="28"/>
              </w:rPr>
              <w:t xml:space="preserve">lai pakāpeniski pārietu  uz asins un asins komponentu brīvprātīgu bezmaksas ziedošanu, </w:t>
            </w:r>
            <w:r w:rsidRPr="000E727B">
              <w:rPr>
                <w:sz w:val="28"/>
                <w:szCs w:val="28"/>
              </w:rPr>
              <w:t xml:space="preserve">Projekts paredz atcelt kompensāciju par izdevumiem zaudētā asins apjoma atjaunošanai retas asins grupas (aloimunizētiem recipientiem) asins donoram </w:t>
            </w:r>
            <w:r w:rsidR="00A2706E" w:rsidRPr="000E727B">
              <w:rPr>
                <w:sz w:val="28"/>
                <w:szCs w:val="28"/>
              </w:rPr>
              <w:t xml:space="preserve">un </w:t>
            </w:r>
            <w:r w:rsidRPr="000E727B">
              <w:rPr>
                <w:sz w:val="28"/>
                <w:szCs w:val="28"/>
              </w:rPr>
              <w:t xml:space="preserve">asins donoram, kas nodod asinis pēc </w:t>
            </w:r>
            <w:r w:rsidR="00A2706E" w:rsidRPr="000E727B">
              <w:rPr>
                <w:sz w:val="28"/>
                <w:szCs w:val="28"/>
              </w:rPr>
              <w:t>VADC</w:t>
            </w:r>
            <w:r w:rsidRPr="000E727B">
              <w:rPr>
                <w:sz w:val="28"/>
                <w:szCs w:val="28"/>
              </w:rPr>
              <w:t xml:space="preserve"> vai asins sagatavošanas nodaļas izsaukuma ārkārtējā situācijā, kad trūkst noteiktas asins grupas asiņu</w:t>
            </w:r>
            <w:r w:rsidR="00A2706E" w:rsidRPr="000E727B">
              <w:rPr>
                <w:sz w:val="28"/>
                <w:szCs w:val="28"/>
              </w:rPr>
              <w:t xml:space="preserve">, kā arī </w:t>
            </w:r>
            <w:r w:rsidR="00A2706E" w:rsidRPr="000E727B">
              <w:rPr>
                <w:sz w:val="28"/>
                <w:szCs w:val="28"/>
                <w:shd w:val="clear" w:color="auto" w:fill="FFFFFF"/>
              </w:rPr>
              <w:t xml:space="preserve">imūnam vai aloimunizētam donoram,  jo </w:t>
            </w:r>
            <w:r w:rsidR="00A2706E" w:rsidRPr="000E727B">
              <w:rPr>
                <w:sz w:val="28"/>
                <w:szCs w:val="28"/>
              </w:rPr>
              <w:t>kopš 2010. gada  donoru imunizācija VADC netiek veikta, un minētā tiesību norma ir zaudēj</w:t>
            </w:r>
            <w:r w:rsidR="000E727B" w:rsidRPr="000E727B">
              <w:rPr>
                <w:sz w:val="28"/>
                <w:szCs w:val="28"/>
              </w:rPr>
              <w:t>us</w:t>
            </w:r>
            <w:r w:rsidR="00A2706E" w:rsidRPr="000E727B">
              <w:rPr>
                <w:sz w:val="28"/>
                <w:szCs w:val="28"/>
              </w:rPr>
              <w:t>i aktualitāti</w:t>
            </w:r>
            <w:r w:rsidRPr="000E727B">
              <w:rPr>
                <w:sz w:val="28"/>
                <w:szCs w:val="28"/>
              </w:rPr>
              <w:t xml:space="preserve"> </w:t>
            </w:r>
            <w:r w:rsidRPr="000B3B62">
              <w:rPr>
                <w:i/>
                <w:iCs/>
                <w:sz w:val="28"/>
                <w:szCs w:val="28"/>
              </w:rPr>
              <w:t>(P</w:t>
            </w:r>
            <w:r w:rsidR="00A2706E" w:rsidRPr="000B3B62">
              <w:rPr>
                <w:i/>
                <w:iCs/>
                <w:sz w:val="28"/>
                <w:szCs w:val="28"/>
              </w:rPr>
              <w:t xml:space="preserve">rojekta 8. punkts). </w:t>
            </w:r>
          </w:p>
          <w:p w14:paraId="15426BC9" w14:textId="7C2830D2" w:rsidR="006B7D2B" w:rsidRPr="006C0423" w:rsidRDefault="000E727B" w:rsidP="006C0423">
            <w:pPr>
              <w:pStyle w:val="liknoteik"/>
              <w:spacing w:before="0" w:beforeAutospacing="0" w:after="120" w:afterAutospacing="0"/>
              <w:ind w:left="176" w:right="74"/>
              <w:jc w:val="both"/>
              <w:rPr>
                <w:i/>
                <w:iCs/>
                <w:sz w:val="28"/>
                <w:szCs w:val="28"/>
                <w:lang w:val="lv-LV"/>
              </w:rPr>
            </w:pPr>
            <w:r>
              <w:rPr>
                <w:sz w:val="28"/>
                <w:szCs w:val="28"/>
                <w:lang w:val="lv-LV"/>
              </w:rPr>
              <w:t xml:space="preserve">      </w:t>
            </w:r>
            <w:r w:rsidR="00E72C30" w:rsidRPr="00267203">
              <w:rPr>
                <w:sz w:val="28"/>
                <w:szCs w:val="28"/>
                <w:lang w:val="lv-LV"/>
              </w:rPr>
              <w:t>9. Kā nosaka Komisijas 2005.</w:t>
            </w:r>
            <w:r>
              <w:rPr>
                <w:sz w:val="28"/>
                <w:szCs w:val="28"/>
                <w:lang w:val="lv-LV"/>
              </w:rPr>
              <w:t xml:space="preserve"> </w:t>
            </w:r>
            <w:r w:rsidR="00E72C30" w:rsidRPr="00267203">
              <w:rPr>
                <w:sz w:val="28"/>
                <w:szCs w:val="28"/>
                <w:lang w:val="lv-LV"/>
              </w:rPr>
              <w:t>gada 30.</w:t>
            </w:r>
            <w:r>
              <w:rPr>
                <w:sz w:val="28"/>
                <w:szCs w:val="28"/>
                <w:lang w:val="lv-LV"/>
              </w:rPr>
              <w:t xml:space="preserve"> </w:t>
            </w:r>
            <w:r w:rsidR="00E72C30" w:rsidRPr="00267203">
              <w:rPr>
                <w:sz w:val="28"/>
                <w:szCs w:val="28"/>
                <w:lang w:val="lv-LV"/>
              </w:rPr>
              <w:t xml:space="preserve">septembra direktīvas Nr. 2005/61/EK, ar ko īsteno Eiropas Parlamenta un Padomes Direktīvu 2002/98/EK attiecībā uz izsekojamības prasībām un nopietnu blakņu un nevēlamu notikumu paziņošanu </w:t>
            </w:r>
            <w:r w:rsidR="00126D2A">
              <w:rPr>
                <w:sz w:val="28"/>
                <w:szCs w:val="28"/>
                <w:lang w:val="lv-LV"/>
              </w:rPr>
              <w:t xml:space="preserve">(turpmāk – Direktīva </w:t>
            </w:r>
            <w:r w:rsidR="00126D2A" w:rsidRPr="00267203">
              <w:rPr>
                <w:sz w:val="28"/>
                <w:szCs w:val="28"/>
                <w:lang w:val="lv-LV"/>
              </w:rPr>
              <w:t>Nr. 2005/61/EK</w:t>
            </w:r>
            <w:r w:rsidR="00126D2A">
              <w:rPr>
                <w:sz w:val="28"/>
                <w:szCs w:val="28"/>
                <w:lang w:val="lv-LV"/>
              </w:rPr>
              <w:t xml:space="preserve">) </w:t>
            </w:r>
            <w:r w:rsidR="00E72C30" w:rsidRPr="00267203">
              <w:rPr>
                <w:sz w:val="28"/>
                <w:szCs w:val="28"/>
                <w:lang w:val="lv-LV"/>
              </w:rPr>
              <w:t>1.</w:t>
            </w:r>
            <w:r>
              <w:rPr>
                <w:sz w:val="28"/>
                <w:szCs w:val="28"/>
                <w:lang w:val="lv-LV"/>
              </w:rPr>
              <w:t xml:space="preserve"> </w:t>
            </w:r>
            <w:r w:rsidR="00E72C30" w:rsidRPr="00267203">
              <w:rPr>
                <w:sz w:val="28"/>
                <w:szCs w:val="28"/>
                <w:lang w:val="lv-LV"/>
              </w:rPr>
              <w:t>panta d) punkts “izsniegšana” ir sagatavotāju vai slimnīcas asins bankas veikta apgāde ar asinīm vai asins komponentiem pārliešanai recipientiem. Saskaņā ar Ministru kabineta 2005.</w:t>
            </w:r>
            <w:r>
              <w:rPr>
                <w:sz w:val="28"/>
                <w:szCs w:val="28"/>
                <w:lang w:val="lv-LV"/>
              </w:rPr>
              <w:t xml:space="preserve"> </w:t>
            </w:r>
            <w:r w:rsidR="00E72C30" w:rsidRPr="00267203">
              <w:rPr>
                <w:sz w:val="28"/>
                <w:szCs w:val="28"/>
                <w:lang w:val="lv-LV"/>
              </w:rPr>
              <w:t>gada 22.</w:t>
            </w:r>
            <w:r>
              <w:rPr>
                <w:sz w:val="28"/>
                <w:szCs w:val="28"/>
                <w:lang w:val="lv-LV"/>
              </w:rPr>
              <w:t xml:space="preserve"> </w:t>
            </w:r>
            <w:r w:rsidR="00E72C30" w:rsidRPr="00267203">
              <w:rPr>
                <w:sz w:val="28"/>
                <w:szCs w:val="28"/>
                <w:lang w:val="lv-LV"/>
              </w:rPr>
              <w:t xml:space="preserve">februāra noteikumu Nr. 138 </w:t>
            </w:r>
            <w:r>
              <w:rPr>
                <w:sz w:val="28"/>
                <w:szCs w:val="28"/>
                <w:lang w:val="lv-LV"/>
              </w:rPr>
              <w:t xml:space="preserve">“Valsts asinsdonoru centra nolikums” </w:t>
            </w:r>
            <w:r w:rsidR="00E72C30" w:rsidRPr="00267203">
              <w:rPr>
                <w:sz w:val="28"/>
                <w:szCs w:val="28"/>
                <w:lang w:val="lv-LV"/>
              </w:rPr>
              <w:t>3.</w:t>
            </w:r>
            <w:r>
              <w:rPr>
                <w:sz w:val="28"/>
                <w:szCs w:val="28"/>
                <w:lang w:val="lv-LV"/>
              </w:rPr>
              <w:t xml:space="preserve"> </w:t>
            </w:r>
            <w:r w:rsidR="00E72C30" w:rsidRPr="00267203">
              <w:rPr>
                <w:sz w:val="28"/>
                <w:szCs w:val="28"/>
                <w:lang w:val="lv-LV"/>
              </w:rPr>
              <w:t>punktu</w:t>
            </w:r>
            <w:r>
              <w:rPr>
                <w:sz w:val="28"/>
                <w:szCs w:val="28"/>
                <w:lang w:val="lv-LV"/>
              </w:rPr>
              <w:t>,</w:t>
            </w:r>
            <w:r w:rsidR="00E72C30" w:rsidRPr="00267203">
              <w:rPr>
                <w:sz w:val="28"/>
                <w:szCs w:val="28"/>
                <w:lang w:val="lv-LV"/>
              </w:rPr>
              <w:t xml:space="preserve"> </w:t>
            </w:r>
            <w:r>
              <w:rPr>
                <w:sz w:val="28"/>
                <w:szCs w:val="28"/>
                <w:lang w:val="lv-LV"/>
              </w:rPr>
              <w:t>VADC</w:t>
            </w:r>
            <w:r w:rsidR="00E72C30" w:rsidRPr="00267203">
              <w:rPr>
                <w:sz w:val="28"/>
                <w:szCs w:val="28"/>
                <w:lang w:val="lv-LV"/>
              </w:rPr>
              <w:t xml:space="preserve"> funkcijās ietilpst organizēt un koordinēt ārstniecības iestāžu apgādi ar kvalitātes prasībām atbilstošiem asins komponentiem un asins </w:t>
            </w:r>
            <w:r w:rsidR="00E72C30" w:rsidRPr="00267203">
              <w:rPr>
                <w:sz w:val="28"/>
                <w:szCs w:val="28"/>
                <w:lang w:val="lv-LV"/>
              </w:rPr>
              <w:lastRenderedPageBreak/>
              <w:t xml:space="preserve">pagatavojumiem. Lai pilnīgāk pārņemtu minēto direktīvas prasību, kas paredzētu neatliekamās situācijās nodrošināt asins pārliešanu jebkuras ārstniecības iestādes pacientiem, </w:t>
            </w:r>
            <w:r>
              <w:rPr>
                <w:sz w:val="28"/>
                <w:szCs w:val="28"/>
                <w:lang w:val="lv-LV"/>
              </w:rPr>
              <w:t>Projekts paredz papildināt</w:t>
            </w:r>
            <w:r w:rsidR="00E72C30" w:rsidRPr="00267203">
              <w:rPr>
                <w:sz w:val="28"/>
                <w:szCs w:val="28"/>
                <w:lang w:val="lv-LV"/>
              </w:rPr>
              <w:t xml:space="preserve"> Noteikum</w:t>
            </w:r>
            <w:r>
              <w:rPr>
                <w:sz w:val="28"/>
                <w:szCs w:val="28"/>
                <w:lang w:val="lv-LV"/>
              </w:rPr>
              <w:t>u</w:t>
            </w:r>
            <w:r w:rsidR="00E72C30" w:rsidRPr="00267203">
              <w:rPr>
                <w:sz w:val="28"/>
                <w:szCs w:val="28"/>
                <w:lang w:val="lv-LV"/>
              </w:rPr>
              <w:t xml:space="preserve">s </w:t>
            </w:r>
            <w:r w:rsidR="006C0423">
              <w:rPr>
                <w:sz w:val="28"/>
                <w:szCs w:val="28"/>
                <w:lang w:val="lv-LV"/>
              </w:rPr>
              <w:t xml:space="preserve">Nr. 1037 </w:t>
            </w:r>
            <w:r w:rsidR="00503A65">
              <w:rPr>
                <w:sz w:val="28"/>
                <w:szCs w:val="28"/>
                <w:lang w:val="lv-LV"/>
              </w:rPr>
              <w:t xml:space="preserve">ar </w:t>
            </w:r>
            <w:r w:rsidR="00503A65" w:rsidRPr="00267203">
              <w:rPr>
                <w:sz w:val="28"/>
                <w:szCs w:val="28"/>
                <w:lang w:val="lv-LV"/>
              </w:rPr>
              <w:t>17.</w:t>
            </w:r>
            <w:r w:rsidR="00503A65" w:rsidRPr="00503A65">
              <w:rPr>
                <w:sz w:val="28"/>
                <w:szCs w:val="28"/>
                <w:vertAlign w:val="superscript"/>
                <w:lang w:val="lv-LV"/>
              </w:rPr>
              <w:t xml:space="preserve">2 </w:t>
            </w:r>
            <w:r w:rsidR="00503A65">
              <w:rPr>
                <w:sz w:val="28"/>
                <w:szCs w:val="28"/>
                <w:lang w:val="lv-LV"/>
              </w:rPr>
              <w:t xml:space="preserve">apakšpunktu, kas paredz iespēju VADC </w:t>
            </w:r>
            <w:r w:rsidR="00503A65" w:rsidRPr="00503C97">
              <w:rPr>
                <w:color w:val="000000" w:themeColor="text1"/>
                <w:sz w:val="28"/>
                <w:szCs w:val="28"/>
                <w:lang w:val="lv-LV"/>
              </w:rPr>
              <w:t xml:space="preserve">veikt asiņu vai asins komponentu izsniegšanu ārstniecības iestādei, kurā nav </w:t>
            </w:r>
            <w:r w:rsidR="00503A65">
              <w:rPr>
                <w:color w:val="000000" w:themeColor="text1"/>
                <w:sz w:val="28"/>
                <w:szCs w:val="28"/>
                <w:lang w:val="lv-LV"/>
              </w:rPr>
              <w:t>N</w:t>
            </w:r>
            <w:r w:rsidR="00503A65" w:rsidRPr="00503C97">
              <w:rPr>
                <w:color w:val="000000" w:themeColor="text1"/>
                <w:sz w:val="28"/>
                <w:szCs w:val="28"/>
                <w:lang w:val="lv-LV"/>
              </w:rPr>
              <w:t xml:space="preserve">oteikumu </w:t>
            </w:r>
            <w:r w:rsidR="00503A65">
              <w:rPr>
                <w:color w:val="000000" w:themeColor="text1"/>
                <w:sz w:val="28"/>
                <w:szCs w:val="28"/>
                <w:lang w:val="lv-LV"/>
              </w:rPr>
              <w:t xml:space="preserve">Nr. 1037 </w:t>
            </w:r>
            <w:r w:rsidR="00503A65" w:rsidRPr="00503C97">
              <w:rPr>
                <w:color w:val="000000" w:themeColor="text1"/>
                <w:sz w:val="28"/>
                <w:szCs w:val="28"/>
                <w:lang w:val="lv-LV"/>
              </w:rPr>
              <w:t>7.</w:t>
            </w:r>
            <w:r w:rsidR="00503A65">
              <w:rPr>
                <w:color w:val="000000" w:themeColor="text1"/>
                <w:sz w:val="28"/>
                <w:szCs w:val="28"/>
                <w:lang w:val="lv-LV"/>
              </w:rPr>
              <w:t xml:space="preserve"> </w:t>
            </w:r>
            <w:r w:rsidR="00503A65" w:rsidRPr="00503C97">
              <w:rPr>
                <w:color w:val="000000" w:themeColor="text1"/>
                <w:sz w:val="28"/>
                <w:szCs w:val="28"/>
                <w:lang w:val="lv-LV"/>
              </w:rPr>
              <w:t>pielikumā minēt</w:t>
            </w:r>
            <w:r w:rsidR="00503A65">
              <w:rPr>
                <w:color w:val="000000" w:themeColor="text1"/>
                <w:sz w:val="28"/>
                <w:szCs w:val="28"/>
                <w:lang w:val="lv-LV"/>
              </w:rPr>
              <w:t xml:space="preserve">ā </w:t>
            </w:r>
            <w:r w:rsidR="00503A65" w:rsidRPr="00503C97">
              <w:rPr>
                <w:color w:val="000000" w:themeColor="text1"/>
                <w:sz w:val="28"/>
                <w:szCs w:val="28"/>
                <w:lang w:val="lv-LV"/>
              </w:rPr>
              <w:t>asins kabinet</w:t>
            </w:r>
            <w:r w:rsidR="00503A65">
              <w:rPr>
                <w:color w:val="000000" w:themeColor="text1"/>
                <w:sz w:val="28"/>
                <w:szCs w:val="28"/>
                <w:lang w:val="lv-LV"/>
              </w:rPr>
              <w:t>a</w:t>
            </w:r>
            <w:r w:rsidR="00503A65" w:rsidRPr="00503C97">
              <w:rPr>
                <w:color w:val="000000" w:themeColor="text1"/>
                <w:sz w:val="28"/>
                <w:szCs w:val="28"/>
                <w:lang w:val="lv-LV"/>
              </w:rPr>
              <w:t>, pārliešanai konkrētam recipientam gadījumos, kad nodrošinā</w:t>
            </w:r>
            <w:r w:rsidR="00503A65">
              <w:rPr>
                <w:color w:val="000000" w:themeColor="text1"/>
                <w:sz w:val="28"/>
                <w:szCs w:val="28"/>
                <w:lang w:val="lv-LV"/>
              </w:rPr>
              <w:t>ma</w:t>
            </w:r>
            <w:r w:rsidR="00503A65" w:rsidRPr="00503C97">
              <w:rPr>
                <w:color w:val="000000" w:themeColor="text1"/>
                <w:sz w:val="28"/>
                <w:szCs w:val="28"/>
                <w:lang w:val="lv-LV"/>
              </w:rPr>
              <w:t xml:space="preserve"> neatliekam</w:t>
            </w:r>
            <w:r w:rsidR="00503A65">
              <w:rPr>
                <w:color w:val="000000" w:themeColor="text1"/>
                <w:sz w:val="28"/>
                <w:szCs w:val="28"/>
                <w:lang w:val="lv-LV"/>
              </w:rPr>
              <w:t>ā</w:t>
            </w:r>
            <w:r w:rsidR="00503A65" w:rsidRPr="00503C97">
              <w:rPr>
                <w:color w:val="000000" w:themeColor="text1"/>
                <w:sz w:val="28"/>
                <w:szCs w:val="28"/>
                <w:lang w:val="lv-LV"/>
              </w:rPr>
              <w:t xml:space="preserve"> medicīnisk</w:t>
            </w:r>
            <w:r w:rsidR="00503A65">
              <w:rPr>
                <w:color w:val="000000" w:themeColor="text1"/>
                <w:sz w:val="28"/>
                <w:szCs w:val="28"/>
                <w:lang w:val="lv-LV"/>
              </w:rPr>
              <w:t>ā</w:t>
            </w:r>
            <w:r w:rsidR="00503A65" w:rsidRPr="00503C97">
              <w:rPr>
                <w:color w:val="000000" w:themeColor="text1"/>
                <w:sz w:val="28"/>
                <w:szCs w:val="28"/>
                <w:lang w:val="lv-LV"/>
              </w:rPr>
              <w:t xml:space="preserve"> palīdzīb</w:t>
            </w:r>
            <w:r w:rsidR="00503A65">
              <w:rPr>
                <w:color w:val="000000" w:themeColor="text1"/>
                <w:sz w:val="28"/>
                <w:szCs w:val="28"/>
                <w:lang w:val="lv-LV"/>
              </w:rPr>
              <w:t>a</w:t>
            </w:r>
            <w:r w:rsidR="006C0423">
              <w:rPr>
                <w:color w:val="000000" w:themeColor="text1"/>
                <w:sz w:val="28"/>
                <w:szCs w:val="28"/>
                <w:lang w:val="lv-LV"/>
              </w:rPr>
              <w:t xml:space="preserve"> </w:t>
            </w:r>
            <w:r w:rsidR="006C0423" w:rsidRPr="006C0423">
              <w:rPr>
                <w:i/>
                <w:iCs/>
                <w:color w:val="000000" w:themeColor="text1"/>
                <w:sz w:val="28"/>
                <w:szCs w:val="28"/>
                <w:lang w:val="lv-LV"/>
              </w:rPr>
              <w:t>(Projekta 9. punkts)</w:t>
            </w:r>
            <w:r w:rsidR="00503A65" w:rsidRPr="006C0423">
              <w:rPr>
                <w:i/>
                <w:iCs/>
                <w:color w:val="000000" w:themeColor="text1"/>
                <w:sz w:val="28"/>
                <w:szCs w:val="28"/>
                <w:lang w:val="lv-LV"/>
              </w:rPr>
              <w:t>.</w:t>
            </w:r>
          </w:p>
          <w:p w14:paraId="4655C70D" w14:textId="2CE5D756" w:rsidR="00F43A33" w:rsidRDefault="006B7D2B" w:rsidP="00F43A33">
            <w:pPr>
              <w:pStyle w:val="liknoteik"/>
              <w:spacing w:before="0" w:beforeAutospacing="0" w:after="120" w:afterAutospacing="0"/>
              <w:ind w:left="176" w:right="74"/>
              <w:jc w:val="both"/>
              <w:rPr>
                <w:sz w:val="28"/>
                <w:szCs w:val="28"/>
                <w:lang w:val="lv-LV"/>
              </w:rPr>
            </w:pPr>
            <w:r>
              <w:rPr>
                <w:sz w:val="28"/>
                <w:szCs w:val="28"/>
                <w:lang w:val="lv-LV"/>
              </w:rPr>
              <w:t xml:space="preserve">     </w:t>
            </w:r>
            <w:r w:rsidR="00E72C30" w:rsidRPr="00267203">
              <w:rPr>
                <w:sz w:val="28"/>
                <w:szCs w:val="28"/>
                <w:lang w:val="lv-LV"/>
              </w:rPr>
              <w:t>10. Saskaņā ar Ministru kabineta 2012.</w:t>
            </w:r>
            <w:r>
              <w:rPr>
                <w:sz w:val="28"/>
                <w:szCs w:val="28"/>
                <w:lang w:val="lv-LV"/>
              </w:rPr>
              <w:t xml:space="preserve"> </w:t>
            </w:r>
            <w:r w:rsidR="00E72C30" w:rsidRPr="00267203">
              <w:rPr>
                <w:sz w:val="28"/>
                <w:szCs w:val="28"/>
                <w:lang w:val="lv-LV"/>
              </w:rPr>
              <w:t>gada 31.</w:t>
            </w:r>
            <w:r>
              <w:rPr>
                <w:sz w:val="28"/>
                <w:szCs w:val="28"/>
                <w:lang w:val="lv-LV"/>
              </w:rPr>
              <w:t xml:space="preserve"> </w:t>
            </w:r>
            <w:r w:rsidR="00E72C30" w:rsidRPr="00267203">
              <w:rPr>
                <w:sz w:val="28"/>
                <w:szCs w:val="28"/>
                <w:lang w:val="lv-LV"/>
              </w:rPr>
              <w:t>jūlija noteikumu Nr. 537 “Zāļu valsts aģentūras nolikums” 4.7.1</w:t>
            </w:r>
            <w:r>
              <w:rPr>
                <w:sz w:val="28"/>
                <w:szCs w:val="28"/>
                <w:lang w:val="lv-LV"/>
              </w:rPr>
              <w:t>.</w:t>
            </w:r>
            <w:r w:rsidR="00E72C30" w:rsidRPr="00267203">
              <w:rPr>
                <w:sz w:val="28"/>
                <w:szCs w:val="28"/>
                <w:lang w:val="lv-LV"/>
              </w:rPr>
              <w:t xml:space="preserve"> apakšpunktu</w:t>
            </w:r>
            <w:r>
              <w:rPr>
                <w:sz w:val="28"/>
                <w:szCs w:val="28"/>
                <w:lang w:val="lv-LV"/>
              </w:rPr>
              <w:t>, ZVA</w:t>
            </w:r>
            <w:r w:rsidR="00E72C30" w:rsidRPr="00267203">
              <w:rPr>
                <w:sz w:val="28"/>
                <w:szCs w:val="28"/>
                <w:lang w:val="lv-LV"/>
              </w:rPr>
              <w:t xml:space="preserve"> apstiprina ārstniecībā izmantojamās medicīniskās tehnoloģijas, reģistrē apstiprinātās medicīniskās tehnoloģijas, veido un uztur apstiprināto medicīnisko tehnoloģiju uzskaites un no valsts budžeta līdzekļiem apmaksājamo medicīnisko tehnoloģiju datubāzi. </w:t>
            </w:r>
            <w:r>
              <w:rPr>
                <w:sz w:val="28"/>
                <w:szCs w:val="28"/>
                <w:lang w:val="lv-LV"/>
              </w:rPr>
              <w:t>Tādējādi Projekts paredz precizēt</w:t>
            </w:r>
            <w:r w:rsidR="00E72C30" w:rsidRPr="00267203">
              <w:rPr>
                <w:sz w:val="28"/>
                <w:szCs w:val="28"/>
                <w:lang w:val="lv-LV"/>
              </w:rPr>
              <w:t xml:space="preserve"> Nr. 1037 21.</w:t>
            </w:r>
            <w:r w:rsidR="006C0423">
              <w:rPr>
                <w:sz w:val="28"/>
                <w:szCs w:val="28"/>
                <w:lang w:val="lv-LV"/>
              </w:rPr>
              <w:t xml:space="preserve"> </w:t>
            </w:r>
            <w:r w:rsidR="00E72C30" w:rsidRPr="00267203">
              <w:rPr>
                <w:sz w:val="28"/>
                <w:szCs w:val="28"/>
                <w:lang w:val="lv-LV"/>
              </w:rPr>
              <w:t>punkt</w:t>
            </w:r>
            <w:r>
              <w:rPr>
                <w:sz w:val="28"/>
                <w:szCs w:val="28"/>
                <w:lang w:val="lv-LV"/>
              </w:rPr>
              <w:t>u</w:t>
            </w:r>
            <w:r w:rsidR="00E72C30" w:rsidRPr="00267203">
              <w:rPr>
                <w:sz w:val="28"/>
                <w:szCs w:val="28"/>
                <w:lang w:val="lv-LV"/>
              </w:rPr>
              <w:t xml:space="preserve">, nosakot, ka </w:t>
            </w:r>
            <w:r>
              <w:rPr>
                <w:sz w:val="28"/>
                <w:szCs w:val="28"/>
                <w:lang w:val="lv-LV"/>
              </w:rPr>
              <w:t>VADC</w:t>
            </w:r>
            <w:r w:rsidR="00E72C30" w:rsidRPr="00267203">
              <w:rPr>
                <w:sz w:val="28"/>
                <w:szCs w:val="28"/>
                <w:lang w:val="lv-LV"/>
              </w:rPr>
              <w:t xml:space="preserve"> izstrādā un iesniedz apstiprināšanai asiņu un asins komponentu sagatavošanas un lietošanas tehnoloģijas</w:t>
            </w:r>
            <w:r>
              <w:rPr>
                <w:sz w:val="28"/>
                <w:szCs w:val="28"/>
                <w:lang w:val="lv-LV"/>
              </w:rPr>
              <w:t xml:space="preserve"> ZVA, nevis Nacionālajā veselības dienestā, kā tas ir noteikts šobrīd</w:t>
            </w:r>
            <w:r w:rsidR="006C0423">
              <w:rPr>
                <w:sz w:val="28"/>
                <w:szCs w:val="28"/>
                <w:lang w:val="lv-LV"/>
              </w:rPr>
              <w:t xml:space="preserve"> </w:t>
            </w:r>
            <w:r w:rsidR="006C0423" w:rsidRPr="006C0423">
              <w:rPr>
                <w:i/>
                <w:iCs/>
                <w:sz w:val="28"/>
                <w:szCs w:val="28"/>
                <w:lang w:val="lv-LV"/>
              </w:rPr>
              <w:t>(Projekta 10. punkts)</w:t>
            </w:r>
            <w:r w:rsidRPr="006C0423">
              <w:rPr>
                <w:i/>
                <w:iCs/>
                <w:sz w:val="28"/>
                <w:szCs w:val="28"/>
                <w:lang w:val="lv-LV"/>
              </w:rPr>
              <w:t>.</w:t>
            </w:r>
          </w:p>
          <w:p w14:paraId="3B231789" w14:textId="0882B937" w:rsidR="00E72C30" w:rsidRPr="00705EC8" w:rsidRDefault="00F43A33" w:rsidP="00431BC2">
            <w:pPr>
              <w:pStyle w:val="NormalWeb"/>
              <w:spacing w:before="0" w:beforeAutospacing="0" w:after="120" w:afterAutospacing="0"/>
              <w:ind w:left="176" w:right="74"/>
              <w:jc w:val="both"/>
              <w:rPr>
                <w:i/>
                <w:iCs/>
                <w:sz w:val="28"/>
                <w:szCs w:val="28"/>
              </w:rPr>
            </w:pPr>
            <w:r>
              <w:rPr>
                <w:sz w:val="28"/>
                <w:szCs w:val="28"/>
              </w:rPr>
              <w:t xml:space="preserve">      </w:t>
            </w:r>
            <w:r w:rsidR="00E72C30" w:rsidRPr="00F43A33">
              <w:rPr>
                <w:sz w:val="28"/>
                <w:szCs w:val="28"/>
              </w:rPr>
              <w:t xml:space="preserve">11. Kā nosaka Direktīvas Nr. 2004/33/EK II pielikuma B daļa, nepieciešamā informācija, ko, ikreiz nododot asinis, donori sniedz asins dienestam, ir īpašie personas dati, pēc kuriem var nekļūdīgi noteikt donoru. </w:t>
            </w:r>
            <w:r>
              <w:rPr>
                <w:sz w:val="28"/>
                <w:szCs w:val="28"/>
              </w:rPr>
              <w:t xml:space="preserve">Ņemot vērā, ka tikai pēc personas vārda un uzvārda, personu nevar nekļūdīgi identificēt, Projekts paredz </w:t>
            </w:r>
            <w:r w:rsidR="003E5303">
              <w:rPr>
                <w:sz w:val="28"/>
                <w:szCs w:val="28"/>
              </w:rPr>
              <w:t xml:space="preserve">Noteikumu Nr. 1037 </w:t>
            </w:r>
            <w:r w:rsidR="003E5303" w:rsidRPr="003E5303">
              <w:rPr>
                <w:sz w:val="28"/>
                <w:szCs w:val="28"/>
                <w:shd w:val="clear" w:color="auto" w:fill="FFFFFF"/>
              </w:rPr>
              <w:t>39.1. apakšpunktā minētos personas datus – vārdu un uzvārdu papildināt ar</w:t>
            </w:r>
            <w:r w:rsidR="003E5303" w:rsidRPr="003E5303">
              <w:rPr>
                <w:rFonts w:ascii="Arial" w:hAnsi="Arial" w:cs="Arial"/>
                <w:sz w:val="20"/>
                <w:szCs w:val="20"/>
                <w:shd w:val="clear" w:color="auto" w:fill="FFFFFF"/>
              </w:rPr>
              <w:t xml:space="preserve"> </w:t>
            </w:r>
            <w:r w:rsidR="003E5303" w:rsidRPr="00503C97">
              <w:rPr>
                <w:sz w:val="28"/>
                <w:szCs w:val="28"/>
              </w:rPr>
              <w:t xml:space="preserve">personas </w:t>
            </w:r>
            <w:r w:rsidR="003E5303" w:rsidRPr="00503C97">
              <w:rPr>
                <w:bCs/>
                <w:sz w:val="28"/>
                <w:szCs w:val="28"/>
              </w:rPr>
              <w:t>kod</w:t>
            </w:r>
            <w:r w:rsidR="003E5303">
              <w:rPr>
                <w:bCs/>
                <w:sz w:val="28"/>
                <w:szCs w:val="28"/>
              </w:rPr>
              <w:t>u</w:t>
            </w:r>
            <w:r w:rsidR="003E5303" w:rsidRPr="00503C97">
              <w:rPr>
                <w:sz w:val="28"/>
                <w:szCs w:val="28"/>
              </w:rPr>
              <w:t xml:space="preserve"> vai nacionāl</w:t>
            </w:r>
            <w:r w:rsidR="003E5303">
              <w:rPr>
                <w:sz w:val="28"/>
                <w:szCs w:val="28"/>
              </w:rPr>
              <w:t>o</w:t>
            </w:r>
            <w:r w:rsidR="003E5303" w:rsidRPr="00503C97">
              <w:rPr>
                <w:sz w:val="28"/>
                <w:szCs w:val="28"/>
              </w:rPr>
              <w:t xml:space="preserve"> identifikācijas numur</w:t>
            </w:r>
            <w:r w:rsidR="003E5303">
              <w:rPr>
                <w:sz w:val="28"/>
                <w:szCs w:val="28"/>
              </w:rPr>
              <w:t>u</w:t>
            </w:r>
            <w:r w:rsidR="00705EC8">
              <w:rPr>
                <w:sz w:val="28"/>
                <w:szCs w:val="28"/>
              </w:rPr>
              <w:t xml:space="preserve"> </w:t>
            </w:r>
            <w:r w:rsidR="00705EC8" w:rsidRPr="00705EC8">
              <w:rPr>
                <w:i/>
                <w:iCs/>
                <w:sz w:val="28"/>
                <w:szCs w:val="28"/>
              </w:rPr>
              <w:t>(Projekta 11. punkts)</w:t>
            </w:r>
            <w:r w:rsidR="003E5303" w:rsidRPr="00705EC8">
              <w:rPr>
                <w:i/>
                <w:iCs/>
                <w:sz w:val="28"/>
                <w:szCs w:val="28"/>
              </w:rPr>
              <w:t>.</w:t>
            </w:r>
          </w:p>
          <w:p w14:paraId="26490664" w14:textId="45CFB62A" w:rsidR="00126D2A" w:rsidRDefault="00431BC2" w:rsidP="00126D2A">
            <w:pPr>
              <w:pStyle w:val="NormalWeb"/>
              <w:spacing w:before="0" w:beforeAutospacing="0" w:after="0" w:afterAutospacing="0"/>
              <w:ind w:left="177" w:right="72"/>
              <w:jc w:val="both"/>
              <w:rPr>
                <w:sz w:val="28"/>
                <w:szCs w:val="28"/>
              </w:rPr>
            </w:pPr>
            <w:r>
              <w:rPr>
                <w:sz w:val="28"/>
                <w:szCs w:val="28"/>
              </w:rPr>
              <w:t xml:space="preserve">      </w:t>
            </w:r>
            <w:r w:rsidR="00E72C30" w:rsidRPr="00267203">
              <w:rPr>
                <w:sz w:val="28"/>
                <w:szCs w:val="28"/>
              </w:rPr>
              <w:t>12. Dažādu kategoriju donoru izmeklējumiem ir stingri noteikt</w:t>
            </w:r>
            <w:r w:rsidR="000855BE">
              <w:rPr>
                <w:sz w:val="28"/>
                <w:szCs w:val="28"/>
              </w:rPr>
              <w:t>as</w:t>
            </w:r>
            <w:r w:rsidR="00E72C30" w:rsidRPr="00267203">
              <w:rPr>
                <w:sz w:val="28"/>
                <w:szCs w:val="28"/>
              </w:rPr>
              <w:t xml:space="preserve"> prasības</w:t>
            </w:r>
            <w:r w:rsidR="000855BE">
              <w:rPr>
                <w:sz w:val="28"/>
                <w:szCs w:val="28"/>
              </w:rPr>
              <w:t xml:space="preserve"> un </w:t>
            </w:r>
            <w:r w:rsidR="000855BE" w:rsidRPr="00267203">
              <w:rPr>
                <w:sz w:val="28"/>
                <w:szCs w:val="28"/>
              </w:rPr>
              <w:t>algoritmi</w:t>
            </w:r>
            <w:r w:rsidR="00E72C30" w:rsidRPr="00267203">
              <w:rPr>
                <w:sz w:val="28"/>
                <w:szCs w:val="28"/>
              </w:rPr>
              <w:t>, k</w:t>
            </w:r>
            <w:r w:rsidR="000855BE">
              <w:rPr>
                <w:sz w:val="28"/>
                <w:szCs w:val="28"/>
              </w:rPr>
              <w:t>uri</w:t>
            </w:r>
            <w:r w:rsidR="00E72C30" w:rsidRPr="00267203">
              <w:rPr>
                <w:sz w:val="28"/>
                <w:szCs w:val="28"/>
              </w:rPr>
              <w:t xml:space="preserve"> definēt</w:t>
            </w:r>
            <w:r w:rsidR="000855BE">
              <w:rPr>
                <w:sz w:val="28"/>
                <w:szCs w:val="28"/>
              </w:rPr>
              <w:t>i</w:t>
            </w:r>
            <w:r w:rsidR="00E72C30" w:rsidRPr="00267203">
              <w:rPr>
                <w:sz w:val="28"/>
                <w:szCs w:val="28"/>
              </w:rPr>
              <w:t xml:space="preserve"> medicīniskās tehnoloģijas metodes aprakstā </w:t>
            </w:r>
            <w:r w:rsidR="00E72C30" w:rsidRPr="00267203">
              <w:rPr>
                <w:i/>
                <w:iCs/>
                <w:sz w:val="28"/>
                <w:szCs w:val="28"/>
              </w:rPr>
              <w:t>,,Pacienta asins imūnhematoloģiskā izmeklēšana un recipienta un donora asins saderības testēšana</w:t>
            </w:r>
            <w:r w:rsidR="000855BE">
              <w:rPr>
                <w:i/>
                <w:iCs/>
                <w:sz w:val="28"/>
                <w:szCs w:val="28"/>
              </w:rPr>
              <w:t>”</w:t>
            </w:r>
            <w:r w:rsidR="00E72C30" w:rsidRPr="00267203">
              <w:rPr>
                <w:sz w:val="28"/>
                <w:szCs w:val="28"/>
              </w:rPr>
              <w:t>, ievērojot mūsdienīgu pieeju, k</w:t>
            </w:r>
            <w:r w:rsidR="000855BE">
              <w:rPr>
                <w:sz w:val="28"/>
                <w:szCs w:val="28"/>
              </w:rPr>
              <w:t>uru</w:t>
            </w:r>
            <w:r w:rsidR="00E72C30" w:rsidRPr="00267203">
              <w:rPr>
                <w:sz w:val="28"/>
                <w:szCs w:val="28"/>
              </w:rPr>
              <w:t xml:space="preserve"> izmanto arī pārējās Eiropas valstis. </w:t>
            </w:r>
            <w:r w:rsidR="000855BE">
              <w:rPr>
                <w:sz w:val="28"/>
                <w:szCs w:val="28"/>
              </w:rPr>
              <w:t>L</w:t>
            </w:r>
            <w:r w:rsidR="000855BE" w:rsidRPr="00267203">
              <w:rPr>
                <w:sz w:val="28"/>
                <w:szCs w:val="28"/>
              </w:rPr>
              <w:t xml:space="preserve">ai nodrošinātu profesionālu, standartizētu, Eiropas direktīvu prasībām atbilstošu donoru imūmhematoloģisko  izmeklēšanu, </w:t>
            </w:r>
            <w:r w:rsidR="000855BE">
              <w:rPr>
                <w:sz w:val="28"/>
                <w:szCs w:val="28"/>
              </w:rPr>
              <w:t xml:space="preserve">kā arī </w:t>
            </w:r>
            <w:r w:rsidR="000855BE" w:rsidRPr="00267203">
              <w:rPr>
                <w:sz w:val="28"/>
                <w:szCs w:val="28"/>
              </w:rPr>
              <w:t xml:space="preserve">sagatavotu pacientam drošus asins komponentus, kuru pārliešana neizsauc blaknes, nerada draudus pacienta dzīvībai, nepagarina slimības laiku un </w:t>
            </w:r>
            <w:r w:rsidR="000855BE" w:rsidRPr="00267203">
              <w:rPr>
                <w:sz w:val="28"/>
                <w:szCs w:val="28"/>
              </w:rPr>
              <w:lastRenderedPageBreak/>
              <w:t>nenoved pie invaliditātes</w:t>
            </w:r>
            <w:r w:rsidR="000855BE">
              <w:rPr>
                <w:sz w:val="28"/>
                <w:szCs w:val="28"/>
              </w:rPr>
              <w:t xml:space="preserve">, Projekts </w:t>
            </w:r>
            <w:r w:rsidR="007948C3">
              <w:rPr>
                <w:sz w:val="28"/>
                <w:szCs w:val="28"/>
              </w:rPr>
              <w:t xml:space="preserve">Nr. 1037 </w:t>
            </w:r>
            <w:r w:rsidR="000855BE">
              <w:rPr>
                <w:sz w:val="28"/>
                <w:szCs w:val="28"/>
              </w:rPr>
              <w:t>paredz augstāk minētās</w:t>
            </w:r>
            <w:r w:rsidR="000855BE" w:rsidRPr="00267203">
              <w:rPr>
                <w:sz w:val="28"/>
                <w:szCs w:val="28"/>
              </w:rPr>
              <w:t xml:space="preserve"> </w:t>
            </w:r>
            <w:r w:rsidR="00E72C30" w:rsidRPr="00267203">
              <w:rPr>
                <w:sz w:val="28"/>
                <w:szCs w:val="28"/>
              </w:rPr>
              <w:t xml:space="preserve"> medicīnas tehnoloģijas prasības  harmonizēt ar Noteikumu Nr</w:t>
            </w:r>
            <w:r w:rsidR="000855BE">
              <w:rPr>
                <w:sz w:val="28"/>
                <w:szCs w:val="28"/>
              </w:rPr>
              <w:t>.</w:t>
            </w:r>
            <w:r w:rsidR="00E72C30" w:rsidRPr="00267203">
              <w:rPr>
                <w:sz w:val="28"/>
                <w:szCs w:val="28"/>
              </w:rPr>
              <w:t xml:space="preserve"> 1037 </w:t>
            </w:r>
            <w:r w:rsidR="000855BE">
              <w:rPr>
                <w:sz w:val="28"/>
                <w:szCs w:val="28"/>
              </w:rPr>
              <w:t xml:space="preserve">1. </w:t>
            </w:r>
            <w:r w:rsidR="00E72C30" w:rsidRPr="00267203">
              <w:rPr>
                <w:sz w:val="28"/>
                <w:szCs w:val="28"/>
              </w:rPr>
              <w:t>pielikumu</w:t>
            </w:r>
            <w:r w:rsidR="007948C3">
              <w:rPr>
                <w:sz w:val="28"/>
                <w:szCs w:val="28"/>
              </w:rPr>
              <w:t xml:space="preserve"> </w:t>
            </w:r>
            <w:r w:rsidR="007948C3" w:rsidRPr="007948C3">
              <w:rPr>
                <w:i/>
                <w:iCs/>
                <w:sz w:val="28"/>
                <w:szCs w:val="28"/>
              </w:rPr>
              <w:t>(Projekta Nr. 1037 12. punkts)</w:t>
            </w:r>
            <w:r w:rsidR="000855BE" w:rsidRPr="007948C3">
              <w:rPr>
                <w:i/>
                <w:iCs/>
                <w:sz w:val="28"/>
                <w:szCs w:val="28"/>
              </w:rPr>
              <w:t>.</w:t>
            </w:r>
            <w:r w:rsidR="00E72C30" w:rsidRPr="00267203">
              <w:rPr>
                <w:sz w:val="28"/>
                <w:szCs w:val="28"/>
              </w:rPr>
              <w:t xml:space="preserve"> Donoru un pacientu imūnhematoloģiskā izmeklēšana ir transfuzioloģijas pamats, uz kā balstās</w:t>
            </w:r>
            <w:r w:rsidR="000855BE">
              <w:rPr>
                <w:sz w:val="28"/>
                <w:szCs w:val="28"/>
              </w:rPr>
              <w:t xml:space="preserve"> </w:t>
            </w:r>
            <w:r w:rsidR="00E72C30" w:rsidRPr="00267203">
              <w:rPr>
                <w:sz w:val="28"/>
                <w:szCs w:val="28"/>
              </w:rPr>
              <w:t xml:space="preserve">asins pārliešanas drošība un efektivitāte. </w:t>
            </w:r>
          </w:p>
          <w:p w14:paraId="4062A317" w14:textId="77777777" w:rsidR="00126D2A" w:rsidRDefault="00126D2A" w:rsidP="00126D2A">
            <w:pPr>
              <w:pStyle w:val="NormalWeb"/>
              <w:spacing w:before="0" w:beforeAutospacing="0" w:after="120" w:afterAutospacing="0"/>
              <w:ind w:left="176" w:right="74"/>
              <w:jc w:val="both"/>
              <w:rPr>
                <w:sz w:val="28"/>
                <w:szCs w:val="28"/>
              </w:rPr>
            </w:pPr>
            <w:r>
              <w:rPr>
                <w:sz w:val="28"/>
                <w:szCs w:val="28"/>
              </w:rPr>
              <w:t xml:space="preserve">       </w:t>
            </w:r>
            <w:r w:rsidR="00E72C30" w:rsidRPr="00267203">
              <w:rPr>
                <w:sz w:val="28"/>
                <w:szCs w:val="28"/>
              </w:rPr>
              <w:t xml:space="preserve">Donoru asins devu ABO un Rh tipēšanu veic vienlaicīgi ar antieritrocitāro antivielu skrīningu, jo pamatā testiem ir antigēna/antivielu mijiedarbība. Antivielu skrīningu izdara savlaicīgi, lai pozitīva skrīninga rezultāta gadījumā, kas liecina par pacienta imunizāciju ar eritrocitāriem antigēniem, būtu iespējama saderīgu asins komponentu sagāde. Algoritmā ietverta arī ABO aglutinīnu noteikšana, jo ne vienmēr pieejami pacientam identiskas grupas asins komponenti, bet tiek izmantotas saderīgas grupas eritrocītu vai trombocītu masas. Kā transfūzijas komplikācija var būt akūta hemolīze, kas saistīta ar augsta titra  (visbiežāk O grupas)  aglutinīniem, pārlejot plazmu saturošos komponentus  A vai B asins  grupas pacientiem. Populācijā aptuveni 5 % O asins grupas donoru plazma satur paaugstināta titra  anti -A un /vai anti -B aglutinīnus.  </w:t>
            </w:r>
          </w:p>
          <w:p w14:paraId="69FE027A" w14:textId="1A082496" w:rsidR="00E72C30" w:rsidRPr="007948C3" w:rsidRDefault="00126D2A" w:rsidP="00126D2A">
            <w:pPr>
              <w:pStyle w:val="NormalWeb"/>
              <w:spacing w:before="0" w:beforeAutospacing="0" w:after="120" w:afterAutospacing="0"/>
              <w:ind w:left="176" w:right="74"/>
              <w:jc w:val="both"/>
              <w:rPr>
                <w:i/>
                <w:iCs/>
                <w:sz w:val="28"/>
                <w:szCs w:val="28"/>
              </w:rPr>
            </w:pPr>
            <w:r>
              <w:rPr>
                <w:sz w:val="28"/>
                <w:szCs w:val="28"/>
              </w:rPr>
              <w:t xml:space="preserve">      </w:t>
            </w:r>
            <w:r w:rsidR="00E72C30" w:rsidRPr="00267203">
              <w:rPr>
                <w:sz w:val="28"/>
                <w:szCs w:val="28"/>
              </w:rPr>
              <w:t xml:space="preserve">13. </w:t>
            </w:r>
            <w:r w:rsidR="0081260C">
              <w:rPr>
                <w:sz w:val="28"/>
                <w:szCs w:val="28"/>
              </w:rPr>
              <w:t>Projekts paredz</w:t>
            </w:r>
            <w:r w:rsidR="00E72C30" w:rsidRPr="00267203">
              <w:rPr>
                <w:sz w:val="28"/>
                <w:szCs w:val="28"/>
              </w:rPr>
              <w:t xml:space="preserve"> precizēt Noteikumu Nr. 1037 8.</w:t>
            </w:r>
            <w:r>
              <w:rPr>
                <w:sz w:val="28"/>
                <w:szCs w:val="28"/>
              </w:rPr>
              <w:t xml:space="preserve"> </w:t>
            </w:r>
            <w:r w:rsidR="00E72C30" w:rsidRPr="00267203">
              <w:rPr>
                <w:sz w:val="28"/>
                <w:szCs w:val="28"/>
              </w:rPr>
              <w:t xml:space="preserve">pielikuma D daļu atbilstoši </w:t>
            </w:r>
            <w:r>
              <w:rPr>
                <w:sz w:val="28"/>
                <w:szCs w:val="28"/>
              </w:rPr>
              <w:t>D</w:t>
            </w:r>
            <w:r w:rsidR="00E72C30" w:rsidRPr="00267203">
              <w:rPr>
                <w:sz w:val="28"/>
                <w:szCs w:val="28"/>
              </w:rPr>
              <w:t>irektīvas Nr. 2005/61/EK</w:t>
            </w:r>
            <w:r>
              <w:rPr>
                <w:sz w:val="28"/>
                <w:szCs w:val="28"/>
              </w:rPr>
              <w:t xml:space="preserve"> </w:t>
            </w:r>
            <w:r w:rsidR="00E72C30" w:rsidRPr="00267203">
              <w:rPr>
                <w:sz w:val="28"/>
                <w:szCs w:val="28"/>
              </w:rPr>
              <w:t>1.panta d) punktā un  II pielikuma D daļā lietotajai terminoloģijai (“</w:t>
            </w:r>
            <w:r w:rsidR="00E72C30" w:rsidRPr="00267203">
              <w:rPr>
                <w:i/>
                <w:iCs/>
                <w:sz w:val="28"/>
                <w:szCs w:val="28"/>
              </w:rPr>
              <w:t>issue”</w:t>
            </w:r>
            <w:r w:rsidR="00E72C30" w:rsidRPr="00267203">
              <w:rPr>
                <w:sz w:val="28"/>
                <w:szCs w:val="28"/>
              </w:rPr>
              <w:t xml:space="preserve"> – “izsniegšana”, “component”- “komponents” un “transfusion transmited infection”-“infekcijas pārnešana ar asins pārliešanu”). Esošā </w:t>
            </w:r>
            <w:r w:rsidR="0081260C" w:rsidRPr="00267203">
              <w:rPr>
                <w:sz w:val="28"/>
                <w:szCs w:val="28"/>
              </w:rPr>
              <w:t>Noteikumu Nr. 1037 8.</w:t>
            </w:r>
            <w:r w:rsidR="0081260C">
              <w:rPr>
                <w:sz w:val="28"/>
                <w:szCs w:val="28"/>
              </w:rPr>
              <w:t xml:space="preserve"> </w:t>
            </w:r>
            <w:r w:rsidR="0081260C" w:rsidRPr="00267203">
              <w:rPr>
                <w:sz w:val="28"/>
                <w:szCs w:val="28"/>
              </w:rPr>
              <w:t>pielikuma D daļ</w:t>
            </w:r>
            <w:r w:rsidR="0081260C">
              <w:rPr>
                <w:sz w:val="28"/>
                <w:szCs w:val="28"/>
              </w:rPr>
              <w:t xml:space="preserve">as </w:t>
            </w:r>
            <w:r w:rsidR="00E72C30" w:rsidRPr="00267203">
              <w:rPr>
                <w:sz w:val="28"/>
                <w:szCs w:val="28"/>
              </w:rPr>
              <w:t xml:space="preserve">redakcija rada grūtības ārstniecības iestādēm pareizi sniegt </w:t>
            </w:r>
            <w:r>
              <w:rPr>
                <w:sz w:val="28"/>
                <w:szCs w:val="28"/>
              </w:rPr>
              <w:t>ZVA</w:t>
            </w:r>
            <w:r w:rsidR="00E72C30" w:rsidRPr="00267203">
              <w:rPr>
                <w:sz w:val="28"/>
                <w:szCs w:val="28"/>
              </w:rPr>
              <w:t xml:space="preserve"> </w:t>
            </w:r>
            <w:r>
              <w:rPr>
                <w:sz w:val="28"/>
                <w:szCs w:val="28"/>
              </w:rPr>
              <w:t>Noteikumu Nr. 1037</w:t>
            </w:r>
            <w:r w:rsidR="00E72C30" w:rsidRPr="00267203">
              <w:rPr>
                <w:sz w:val="28"/>
                <w:szCs w:val="28"/>
              </w:rPr>
              <w:t xml:space="preserve"> 8.</w:t>
            </w:r>
            <w:r>
              <w:rPr>
                <w:sz w:val="28"/>
                <w:szCs w:val="28"/>
              </w:rPr>
              <w:t xml:space="preserve"> </w:t>
            </w:r>
            <w:r w:rsidR="00E72C30" w:rsidRPr="00267203">
              <w:rPr>
                <w:sz w:val="28"/>
                <w:szCs w:val="28"/>
              </w:rPr>
              <w:t xml:space="preserve">pielikuma D daļā prasīto informāciju par izsniegto vienību skaitu un recipientu skaitu, kam tās pārlietas, attiecībā par katru asins komponentu. Rezultātā </w:t>
            </w:r>
            <w:r>
              <w:rPr>
                <w:sz w:val="28"/>
                <w:szCs w:val="28"/>
              </w:rPr>
              <w:t>ZVA</w:t>
            </w:r>
            <w:r w:rsidR="00E72C30" w:rsidRPr="00267203">
              <w:rPr>
                <w:sz w:val="28"/>
                <w:szCs w:val="28"/>
              </w:rPr>
              <w:t xml:space="preserve"> ir jāprasa ārstniecības iestādēm iesniegt</w:t>
            </w:r>
            <w:r>
              <w:rPr>
                <w:sz w:val="28"/>
                <w:szCs w:val="28"/>
              </w:rPr>
              <w:t>os</w:t>
            </w:r>
            <w:r w:rsidR="00E72C30" w:rsidRPr="00267203">
              <w:rPr>
                <w:sz w:val="28"/>
                <w:szCs w:val="28"/>
              </w:rPr>
              <w:t xml:space="preserve"> datus atkārtoti precizēt, kas rada būtisku administratīvo slogu, jo šie dati apkopotā veidā katru gadu ir jāsniedz Eiropas Komisijai</w:t>
            </w:r>
            <w:r w:rsidR="007948C3">
              <w:rPr>
                <w:sz w:val="28"/>
                <w:szCs w:val="28"/>
              </w:rPr>
              <w:t xml:space="preserve"> </w:t>
            </w:r>
            <w:r w:rsidR="007948C3" w:rsidRPr="007948C3">
              <w:rPr>
                <w:i/>
                <w:iCs/>
                <w:sz w:val="28"/>
                <w:szCs w:val="28"/>
              </w:rPr>
              <w:t>(Projekta 13. punkts)</w:t>
            </w:r>
            <w:r w:rsidR="00E72C30" w:rsidRPr="007948C3">
              <w:rPr>
                <w:i/>
                <w:iCs/>
                <w:sz w:val="28"/>
                <w:szCs w:val="28"/>
              </w:rPr>
              <w:t>.</w:t>
            </w:r>
          </w:p>
          <w:p w14:paraId="2AFCF187" w14:textId="09ABF63E" w:rsidR="00E72C30" w:rsidRPr="00267203" w:rsidRDefault="00E72C30" w:rsidP="00267203">
            <w:pPr>
              <w:spacing w:after="0" w:line="240" w:lineRule="auto"/>
              <w:jc w:val="both"/>
              <w:rPr>
                <w:rFonts w:ascii="Times New Roman" w:eastAsia="Times New Roman" w:hAnsi="Times New Roman" w:cs="Times New Roman"/>
                <w:bCs/>
                <w:sz w:val="28"/>
                <w:szCs w:val="28"/>
                <w:lang w:eastAsia="lv-LV"/>
              </w:rPr>
            </w:pPr>
          </w:p>
        </w:tc>
      </w:tr>
      <w:tr w:rsidR="00BD50E2" w:rsidRPr="00696D8C" w14:paraId="64359952" w14:textId="77777777" w:rsidTr="00E72C30">
        <w:tc>
          <w:tcPr>
            <w:tcW w:w="149" w:type="pct"/>
            <w:tcBorders>
              <w:top w:val="single" w:sz="4" w:space="0" w:color="auto"/>
              <w:left w:val="single" w:sz="4" w:space="0" w:color="auto"/>
              <w:bottom w:val="single" w:sz="4" w:space="0" w:color="auto"/>
              <w:right w:val="single" w:sz="4" w:space="0" w:color="auto"/>
            </w:tcBorders>
            <w:hideMark/>
          </w:tcPr>
          <w:p w14:paraId="27CBE529" w14:textId="77777777" w:rsidR="0007278B" w:rsidRPr="00696D8C" w:rsidRDefault="0007278B" w:rsidP="00AE4EFC">
            <w:pPr>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lastRenderedPageBreak/>
              <w:t>3.</w:t>
            </w:r>
          </w:p>
        </w:tc>
        <w:tc>
          <w:tcPr>
            <w:tcW w:w="1149" w:type="pct"/>
            <w:tcBorders>
              <w:top w:val="single" w:sz="4" w:space="0" w:color="auto"/>
              <w:left w:val="single" w:sz="4" w:space="0" w:color="auto"/>
              <w:bottom w:val="single" w:sz="4" w:space="0" w:color="auto"/>
              <w:right w:val="single" w:sz="4" w:space="0" w:color="auto"/>
            </w:tcBorders>
            <w:hideMark/>
          </w:tcPr>
          <w:p w14:paraId="542328FD" w14:textId="77777777" w:rsidR="0007278B" w:rsidRPr="00696D8C" w:rsidRDefault="0007278B" w:rsidP="00AE4EFC">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 xml:space="preserve">Projekta izstrādē iesaistītās institūcijas un </w:t>
            </w:r>
            <w:r w:rsidRPr="00696D8C">
              <w:rPr>
                <w:rFonts w:ascii="Times New Roman" w:eastAsia="Times New Roman" w:hAnsi="Times New Roman" w:cs="Times New Roman"/>
                <w:bCs/>
                <w:sz w:val="28"/>
                <w:szCs w:val="28"/>
              </w:rPr>
              <w:lastRenderedPageBreak/>
              <w:t>publiskas personas kapitālsabiedrības</w:t>
            </w:r>
          </w:p>
        </w:tc>
        <w:tc>
          <w:tcPr>
            <w:tcW w:w="3702" w:type="pct"/>
            <w:tcBorders>
              <w:top w:val="single" w:sz="4" w:space="0" w:color="auto"/>
              <w:left w:val="single" w:sz="4" w:space="0" w:color="auto"/>
              <w:bottom w:val="single" w:sz="4" w:space="0" w:color="auto"/>
              <w:right w:val="single" w:sz="4" w:space="0" w:color="auto"/>
            </w:tcBorders>
            <w:hideMark/>
          </w:tcPr>
          <w:p w14:paraId="63E85C9B" w14:textId="1DDEE72D" w:rsidR="0007278B" w:rsidRPr="00696D8C" w:rsidRDefault="00F30098" w:rsidP="00AE017E">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lastRenderedPageBreak/>
              <w:t xml:space="preserve">Veselības ministrija, </w:t>
            </w:r>
            <w:r w:rsidR="00A00598">
              <w:rPr>
                <w:rFonts w:ascii="Times New Roman" w:eastAsia="Times New Roman" w:hAnsi="Times New Roman" w:cs="Times New Roman"/>
                <w:bCs/>
                <w:sz w:val="28"/>
                <w:szCs w:val="28"/>
              </w:rPr>
              <w:t>VADC, ZVA</w:t>
            </w:r>
            <w:r w:rsidR="00AE017E">
              <w:rPr>
                <w:rFonts w:ascii="Times New Roman" w:eastAsia="Times New Roman" w:hAnsi="Times New Roman" w:cs="Times New Roman"/>
                <w:bCs/>
                <w:sz w:val="28"/>
                <w:szCs w:val="28"/>
              </w:rPr>
              <w:t>.</w:t>
            </w:r>
          </w:p>
        </w:tc>
      </w:tr>
      <w:tr w:rsidR="000E2322" w:rsidRPr="00696D8C" w14:paraId="516EC393" w14:textId="77777777" w:rsidTr="00E72C30">
        <w:tc>
          <w:tcPr>
            <w:tcW w:w="149" w:type="pct"/>
            <w:tcBorders>
              <w:top w:val="single" w:sz="4" w:space="0" w:color="auto"/>
              <w:left w:val="single" w:sz="4" w:space="0" w:color="auto"/>
              <w:bottom w:val="single" w:sz="4" w:space="0" w:color="auto"/>
              <w:right w:val="single" w:sz="4" w:space="0" w:color="auto"/>
            </w:tcBorders>
            <w:hideMark/>
          </w:tcPr>
          <w:p w14:paraId="7747D805" w14:textId="77777777" w:rsidR="0007278B" w:rsidRPr="00696D8C" w:rsidRDefault="0007278B" w:rsidP="00AE4EFC">
            <w:pPr>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4.</w:t>
            </w:r>
          </w:p>
        </w:tc>
        <w:tc>
          <w:tcPr>
            <w:tcW w:w="1149" w:type="pct"/>
            <w:tcBorders>
              <w:top w:val="single" w:sz="4" w:space="0" w:color="auto"/>
              <w:left w:val="single" w:sz="4" w:space="0" w:color="auto"/>
              <w:bottom w:val="single" w:sz="4" w:space="0" w:color="auto"/>
              <w:right w:val="single" w:sz="4" w:space="0" w:color="auto"/>
            </w:tcBorders>
            <w:hideMark/>
          </w:tcPr>
          <w:p w14:paraId="1A3733FA" w14:textId="77777777" w:rsidR="0007278B" w:rsidRPr="00696D8C" w:rsidRDefault="0007278B" w:rsidP="00AE4EFC">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Cita informācija</w:t>
            </w:r>
          </w:p>
        </w:tc>
        <w:tc>
          <w:tcPr>
            <w:tcW w:w="3702" w:type="pct"/>
            <w:tcBorders>
              <w:top w:val="single" w:sz="4" w:space="0" w:color="auto"/>
              <w:left w:val="single" w:sz="4" w:space="0" w:color="auto"/>
              <w:bottom w:val="single" w:sz="4" w:space="0" w:color="auto"/>
              <w:right w:val="single" w:sz="4" w:space="0" w:color="auto"/>
            </w:tcBorders>
            <w:hideMark/>
          </w:tcPr>
          <w:p w14:paraId="52D1B08C" w14:textId="5D24C740" w:rsidR="0007278B" w:rsidRPr="00696D8C" w:rsidRDefault="008069BD" w:rsidP="000301FC">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lang w:eastAsia="lv-LV"/>
              </w:rPr>
              <w:t>Nav.</w:t>
            </w:r>
          </w:p>
        </w:tc>
      </w:tr>
    </w:tbl>
    <w:p w14:paraId="5771F00E" w14:textId="77777777" w:rsidR="0007278B" w:rsidRPr="00696D8C" w:rsidRDefault="0007278B" w:rsidP="003D15E2">
      <w:pPr>
        <w:spacing w:after="0" w:line="240" w:lineRule="auto"/>
        <w:rPr>
          <w:rFonts w:ascii="Times New Roman" w:eastAsia="Times New Roman" w:hAnsi="Times New Roman" w:cs="Times New Roman"/>
          <w:bCs/>
          <w:sz w:val="28"/>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D50E2" w:rsidRPr="00696D8C" w14:paraId="015A4B4E" w14:textId="77777777" w:rsidTr="009D7D59">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913380E" w14:textId="77777777" w:rsidR="0007278B" w:rsidRPr="00696D8C" w:rsidRDefault="0007278B" w:rsidP="00AE4EFC">
            <w:pPr>
              <w:spacing w:after="0" w:line="240" w:lineRule="auto"/>
              <w:jc w:val="center"/>
              <w:rPr>
                <w:rFonts w:ascii="Times New Roman" w:eastAsia="Times New Roman" w:hAnsi="Times New Roman" w:cs="Times New Roman"/>
                <w:b/>
                <w:sz w:val="28"/>
                <w:szCs w:val="28"/>
              </w:rPr>
            </w:pPr>
            <w:r w:rsidRPr="00696D8C">
              <w:rPr>
                <w:rFonts w:ascii="Times New Roman" w:eastAsia="Times New Roman" w:hAnsi="Times New Roman" w:cs="Times New Roman"/>
                <w:b/>
                <w:sz w:val="28"/>
                <w:szCs w:val="28"/>
              </w:rPr>
              <w:t>II. Tiesību akta projekta ietekme uz sabiedrību, tautsaimniecības attīstību un administratīvo slogu</w:t>
            </w:r>
          </w:p>
        </w:tc>
      </w:tr>
      <w:tr w:rsidR="00594330" w:rsidRPr="00696D8C" w14:paraId="3E2E3150" w14:textId="77777777" w:rsidTr="009D7D59">
        <w:tc>
          <w:tcPr>
            <w:tcW w:w="311" w:type="pct"/>
            <w:tcBorders>
              <w:top w:val="single" w:sz="4" w:space="0" w:color="auto"/>
              <w:left w:val="single" w:sz="4" w:space="0" w:color="auto"/>
              <w:bottom w:val="single" w:sz="4" w:space="0" w:color="auto"/>
              <w:right w:val="single" w:sz="4" w:space="0" w:color="auto"/>
            </w:tcBorders>
            <w:hideMark/>
          </w:tcPr>
          <w:p w14:paraId="00079721" w14:textId="77777777"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1.</w:t>
            </w:r>
          </w:p>
        </w:tc>
        <w:tc>
          <w:tcPr>
            <w:tcW w:w="1479" w:type="pct"/>
            <w:tcBorders>
              <w:top w:val="single" w:sz="4" w:space="0" w:color="auto"/>
              <w:left w:val="single" w:sz="4" w:space="0" w:color="auto"/>
              <w:bottom w:val="single" w:sz="4" w:space="0" w:color="auto"/>
              <w:right w:val="single" w:sz="4" w:space="0" w:color="auto"/>
            </w:tcBorders>
            <w:hideMark/>
          </w:tcPr>
          <w:p w14:paraId="3E3D6B69" w14:textId="77777777"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Sabiedrības mērķgrupas, kuras tiesiskais regulējums ietekmē vai varētu ietekmēt</w:t>
            </w:r>
          </w:p>
        </w:tc>
        <w:tc>
          <w:tcPr>
            <w:tcW w:w="3210" w:type="pct"/>
            <w:tcBorders>
              <w:top w:val="single" w:sz="4" w:space="0" w:color="auto"/>
              <w:left w:val="single" w:sz="4" w:space="0" w:color="auto"/>
              <w:bottom w:val="single" w:sz="4" w:space="0" w:color="auto"/>
              <w:right w:val="single" w:sz="4" w:space="0" w:color="auto"/>
            </w:tcBorders>
          </w:tcPr>
          <w:p w14:paraId="554E76BE" w14:textId="4F4B9C0C" w:rsidR="00BE7F52" w:rsidRPr="00594330" w:rsidRDefault="00594330" w:rsidP="003D6375">
            <w:pPr>
              <w:spacing w:after="120" w:line="240" w:lineRule="auto"/>
              <w:jc w:val="both"/>
              <w:rPr>
                <w:rFonts w:ascii="Times New Roman" w:hAnsi="Times New Roman" w:cs="Times New Roman"/>
                <w:bCs/>
                <w:sz w:val="28"/>
                <w:szCs w:val="28"/>
              </w:rPr>
            </w:pPr>
            <w:r>
              <w:rPr>
                <w:rFonts w:ascii="Times New Roman" w:hAnsi="Times New Roman" w:cs="Times New Roman"/>
                <w:sz w:val="28"/>
                <w:szCs w:val="28"/>
              </w:rPr>
              <w:t>P</w:t>
            </w:r>
            <w:r w:rsidRPr="00594330">
              <w:rPr>
                <w:rFonts w:ascii="Times New Roman" w:hAnsi="Times New Roman" w:cs="Times New Roman"/>
                <w:sz w:val="28"/>
                <w:szCs w:val="28"/>
              </w:rPr>
              <w:t xml:space="preserve">rojektā </w:t>
            </w:r>
            <w:r>
              <w:rPr>
                <w:rFonts w:ascii="Times New Roman" w:hAnsi="Times New Roman" w:cs="Times New Roman"/>
                <w:sz w:val="28"/>
                <w:szCs w:val="28"/>
              </w:rPr>
              <w:t xml:space="preserve">Nr. 1037 </w:t>
            </w:r>
            <w:r w:rsidRPr="00594330">
              <w:rPr>
                <w:rFonts w:ascii="Times New Roman" w:hAnsi="Times New Roman" w:cs="Times New Roman"/>
                <w:sz w:val="28"/>
                <w:szCs w:val="28"/>
              </w:rPr>
              <w:t xml:space="preserve">ietvertie normu grozījumi attiecas uz </w:t>
            </w:r>
            <w:r w:rsidR="00BE7F52">
              <w:rPr>
                <w:rFonts w:ascii="Times New Roman" w:hAnsi="Times New Roman" w:cs="Times New Roman"/>
                <w:sz w:val="28"/>
                <w:szCs w:val="28"/>
              </w:rPr>
              <w:t>VADC, ZVA</w:t>
            </w:r>
            <w:r w:rsidRPr="00594330">
              <w:rPr>
                <w:rFonts w:ascii="Times New Roman" w:hAnsi="Times New Roman" w:cs="Times New Roman"/>
                <w:sz w:val="28"/>
                <w:szCs w:val="28"/>
              </w:rPr>
              <w:t xml:space="preserve"> un ārstniecības iestādēm, kurās ir asins sagatavošanas nodaļas</w:t>
            </w:r>
            <w:r w:rsidR="00BE7F52">
              <w:rPr>
                <w:rFonts w:ascii="Times New Roman" w:hAnsi="Times New Roman" w:cs="Times New Roman"/>
                <w:sz w:val="28"/>
                <w:szCs w:val="28"/>
              </w:rPr>
              <w:t xml:space="preserve"> un asins kabineti. </w:t>
            </w:r>
          </w:p>
        </w:tc>
      </w:tr>
      <w:tr w:rsidR="00594330" w:rsidRPr="00696D8C" w14:paraId="63982A56" w14:textId="77777777" w:rsidTr="009D7D59">
        <w:tc>
          <w:tcPr>
            <w:tcW w:w="311" w:type="pct"/>
            <w:tcBorders>
              <w:top w:val="single" w:sz="4" w:space="0" w:color="auto"/>
              <w:left w:val="single" w:sz="4" w:space="0" w:color="auto"/>
              <w:bottom w:val="single" w:sz="4" w:space="0" w:color="auto"/>
              <w:right w:val="single" w:sz="4" w:space="0" w:color="auto"/>
            </w:tcBorders>
            <w:hideMark/>
          </w:tcPr>
          <w:p w14:paraId="0D269F2F" w14:textId="77777777"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2.</w:t>
            </w:r>
          </w:p>
        </w:tc>
        <w:tc>
          <w:tcPr>
            <w:tcW w:w="1479" w:type="pct"/>
            <w:tcBorders>
              <w:top w:val="single" w:sz="4" w:space="0" w:color="auto"/>
              <w:left w:val="single" w:sz="4" w:space="0" w:color="auto"/>
              <w:bottom w:val="single" w:sz="4" w:space="0" w:color="auto"/>
              <w:right w:val="single" w:sz="4" w:space="0" w:color="auto"/>
            </w:tcBorders>
            <w:hideMark/>
          </w:tcPr>
          <w:p w14:paraId="1DB58EBD" w14:textId="77777777"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Tiesiskā regulējuma ietekme uz tautsaimniecību un administratīvo slogu</w:t>
            </w:r>
          </w:p>
        </w:tc>
        <w:tc>
          <w:tcPr>
            <w:tcW w:w="3210" w:type="pct"/>
            <w:tcBorders>
              <w:top w:val="single" w:sz="4" w:space="0" w:color="auto"/>
              <w:left w:val="single" w:sz="4" w:space="0" w:color="auto"/>
              <w:bottom w:val="single" w:sz="4" w:space="0" w:color="auto"/>
              <w:right w:val="single" w:sz="4" w:space="0" w:color="auto"/>
            </w:tcBorders>
            <w:hideMark/>
          </w:tcPr>
          <w:p w14:paraId="5931B922" w14:textId="0634C3DD"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hAnsi="Times New Roman" w:cs="Times New Roman"/>
                <w:bCs/>
                <w:sz w:val="28"/>
                <w:szCs w:val="28"/>
              </w:rPr>
              <w:t>Projekts šo jomu neskar.</w:t>
            </w:r>
          </w:p>
        </w:tc>
      </w:tr>
      <w:tr w:rsidR="00594330" w:rsidRPr="00696D8C" w14:paraId="54545A33" w14:textId="77777777" w:rsidTr="009D7D59">
        <w:tc>
          <w:tcPr>
            <w:tcW w:w="311" w:type="pct"/>
            <w:tcBorders>
              <w:top w:val="single" w:sz="4" w:space="0" w:color="auto"/>
              <w:left w:val="single" w:sz="4" w:space="0" w:color="auto"/>
              <w:bottom w:val="single" w:sz="4" w:space="0" w:color="auto"/>
              <w:right w:val="single" w:sz="4" w:space="0" w:color="auto"/>
            </w:tcBorders>
            <w:hideMark/>
          </w:tcPr>
          <w:p w14:paraId="5F9D0F0A" w14:textId="77777777"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3.</w:t>
            </w:r>
          </w:p>
        </w:tc>
        <w:tc>
          <w:tcPr>
            <w:tcW w:w="1479" w:type="pct"/>
            <w:tcBorders>
              <w:top w:val="single" w:sz="4" w:space="0" w:color="auto"/>
              <w:left w:val="single" w:sz="4" w:space="0" w:color="auto"/>
              <w:bottom w:val="single" w:sz="4" w:space="0" w:color="auto"/>
              <w:right w:val="single" w:sz="4" w:space="0" w:color="auto"/>
            </w:tcBorders>
            <w:hideMark/>
          </w:tcPr>
          <w:p w14:paraId="2756DEC2" w14:textId="77777777"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Administratīvo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4AAC7013" w14:textId="4D5532AE"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hAnsi="Times New Roman" w:cs="Times New Roman"/>
                <w:bCs/>
                <w:sz w:val="28"/>
                <w:szCs w:val="28"/>
              </w:rPr>
              <w:t>Projekts šo jomu neskar.</w:t>
            </w:r>
          </w:p>
        </w:tc>
      </w:tr>
      <w:tr w:rsidR="00594330" w:rsidRPr="00696D8C" w14:paraId="001375C1" w14:textId="77777777" w:rsidTr="009D7D59">
        <w:tc>
          <w:tcPr>
            <w:tcW w:w="311" w:type="pct"/>
            <w:tcBorders>
              <w:top w:val="single" w:sz="4" w:space="0" w:color="auto"/>
              <w:left w:val="single" w:sz="4" w:space="0" w:color="auto"/>
              <w:bottom w:val="single" w:sz="4" w:space="0" w:color="auto"/>
              <w:right w:val="single" w:sz="4" w:space="0" w:color="auto"/>
            </w:tcBorders>
            <w:hideMark/>
          </w:tcPr>
          <w:p w14:paraId="43153370" w14:textId="77777777"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4.</w:t>
            </w:r>
          </w:p>
        </w:tc>
        <w:tc>
          <w:tcPr>
            <w:tcW w:w="1479" w:type="pct"/>
            <w:tcBorders>
              <w:top w:val="single" w:sz="4" w:space="0" w:color="auto"/>
              <w:left w:val="single" w:sz="4" w:space="0" w:color="auto"/>
              <w:bottom w:val="single" w:sz="4" w:space="0" w:color="auto"/>
              <w:right w:val="single" w:sz="4" w:space="0" w:color="auto"/>
            </w:tcBorders>
            <w:hideMark/>
          </w:tcPr>
          <w:p w14:paraId="1F633285" w14:textId="77777777"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Atbilstības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3B95E232" w14:textId="77777777"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hAnsi="Times New Roman" w:cs="Times New Roman"/>
                <w:bCs/>
                <w:sz w:val="28"/>
                <w:szCs w:val="28"/>
              </w:rPr>
              <w:t>Projekts šo jomu neskar.</w:t>
            </w:r>
          </w:p>
        </w:tc>
      </w:tr>
      <w:tr w:rsidR="00594330" w:rsidRPr="00696D8C" w14:paraId="2928B961" w14:textId="77777777" w:rsidTr="009D7D59">
        <w:tc>
          <w:tcPr>
            <w:tcW w:w="311" w:type="pct"/>
            <w:tcBorders>
              <w:top w:val="single" w:sz="4" w:space="0" w:color="auto"/>
              <w:left w:val="single" w:sz="4" w:space="0" w:color="auto"/>
              <w:bottom w:val="single" w:sz="4" w:space="0" w:color="auto"/>
              <w:right w:val="single" w:sz="4" w:space="0" w:color="auto"/>
            </w:tcBorders>
            <w:hideMark/>
          </w:tcPr>
          <w:p w14:paraId="05991B93" w14:textId="77777777"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5.</w:t>
            </w:r>
          </w:p>
        </w:tc>
        <w:tc>
          <w:tcPr>
            <w:tcW w:w="1479" w:type="pct"/>
            <w:tcBorders>
              <w:top w:val="single" w:sz="4" w:space="0" w:color="auto"/>
              <w:left w:val="single" w:sz="4" w:space="0" w:color="auto"/>
              <w:bottom w:val="single" w:sz="4" w:space="0" w:color="auto"/>
              <w:right w:val="single" w:sz="4" w:space="0" w:color="auto"/>
            </w:tcBorders>
            <w:hideMark/>
          </w:tcPr>
          <w:p w14:paraId="5DC37B31" w14:textId="77777777"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2F59F56A" w14:textId="77777777" w:rsidR="00594330" w:rsidRPr="00696D8C" w:rsidRDefault="00594330" w:rsidP="00594330">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lang w:eastAsia="lv-LV"/>
              </w:rPr>
              <w:t>Nav.</w:t>
            </w:r>
          </w:p>
        </w:tc>
      </w:tr>
    </w:tbl>
    <w:p w14:paraId="725AA495" w14:textId="00F80B93" w:rsidR="007E4536" w:rsidRPr="00696D8C" w:rsidRDefault="007E4536" w:rsidP="00D856F7">
      <w:pPr>
        <w:spacing w:after="0" w:line="240" w:lineRule="auto"/>
        <w:rPr>
          <w:rFonts w:ascii="Times New Roman" w:eastAsia="Times New Roman" w:hAnsi="Times New Roman" w:cs="Times New Roman"/>
          <w:bCs/>
          <w:sz w:val="28"/>
          <w:szCs w:val="28"/>
          <w:lang w:eastAsia="lv-LV"/>
        </w:rPr>
      </w:pPr>
    </w:p>
    <w:tbl>
      <w:tblPr>
        <w:tblStyle w:val="TableGrid"/>
        <w:tblW w:w="9072" w:type="dxa"/>
        <w:tblInd w:w="-5" w:type="dxa"/>
        <w:tblLayout w:type="fixed"/>
        <w:tblLook w:val="04A0" w:firstRow="1" w:lastRow="0" w:firstColumn="1" w:lastColumn="0" w:noHBand="0" w:noVBand="1"/>
      </w:tblPr>
      <w:tblGrid>
        <w:gridCol w:w="9072"/>
      </w:tblGrid>
      <w:tr w:rsidR="00977FBF" w:rsidRPr="00696D8C" w14:paraId="05574B63" w14:textId="77777777" w:rsidTr="00886D79">
        <w:trPr>
          <w:trHeight w:val="360"/>
        </w:trPr>
        <w:tc>
          <w:tcPr>
            <w:tcW w:w="9072" w:type="dxa"/>
            <w:tcBorders>
              <w:top w:val="single" w:sz="4" w:space="0" w:color="auto"/>
              <w:left w:val="single" w:sz="4" w:space="0" w:color="auto"/>
              <w:bottom w:val="single" w:sz="4" w:space="0" w:color="auto"/>
              <w:right w:val="single" w:sz="4" w:space="0" w:color="auto"/>
            </w:tcBorders>
            <w:hideMark/>
          </w:tcPr>
          <w:p w14:paraId="1CAF1F7A" w14:textId="77777777" w:rsidR="00977FBF" w:rsidRPr="00696D8C" w:rsidRDefault="00977FBF" w:rsidP="00977FBF">
            <w:pPr>
              <w:pStyle w:val="tvhtml"/>
              <w:spacing w:before="0" w:beforeAutospacing="0" w:after="0" w:afterAutospacing="0"/>
              <w:jc w:val="center"/>
              <w:rPr>
                <w:b/>
                <w:bCs/>
                <w:sz w:val="28"/>
                <w:szCs w:val="28"/>
              </w:rPr>
            </w:pPr>
            <w:r w:rsidRPr="00696D8C">
              <w:rPr>
                <w:b/>
                <w:bCs/>
                <w:sz w:val="28"/>
                <w:szCs w:val="28"/>
              </w:rPr>
              <w:t>III. Tiesību akta projekta ietekme uz valsts budžetu un pašvaldību budžetiem</w:t>
            </w:r>
          </w:p>
        </w:tc>
      </w:tr>
      <w:tr w:rsidR="00886D79" w:rsidRPr="00696D8C" w14:paraId="58189732" w14:textId="77777777" w:rsidTr="00886D79">
        <w:trPr>
          <w:trHeight w:val="360"/>
        </w:trPr>
        <w:tc>
          <w:tcPr>
            <w:tcW w:w="9072" w:type="dxa"/>
            <w:tcBorders>
              <w:top w:val="single" w:sz="4" w:space="0" w:color="auto"/>
              <w:left w:val="single" w:sz="4" w:space="0" w:color="auto"/>
              <w:bottom w:val="single" w:sz="4" w:space="0" w:color="auto"/>
              <w:right w:val="single" w:sz="4" w:space="0" w:color="auto"/>
            </w:tcBorders>
          </w:tcPr>
          <w:p w14:paraId="486EA765" w14:textId="7B7FD7B4" w:rsidR="00886D79" w:rsidRPr="00696D8C" w:rsidRDefault="00886D79" w:rsidP="00977FBF">
            <w:pPr>
              <w:pStyle w:val="tvhtml"/>
              <w:spacing w:before="0" w:beforeAutospacing="0" w:after="0" w:afterAutospacing="0"/>
              <w:jc w:val="center"/>
              <w:rPr>
                <w:b/>
                <w:bCs/>
                <w:sz w:val="28"/>
                <w:szCs w:val="28"/>
                <w:highlight w:val="yellow"/>
              </w:rPr>
            </w:pPr>
            <w:r w:rsidRPr="00696D8C">
              <w:rPr>
                <w:bCs/>
                <w:sz w:val="28"/>
                <w:szCs w:val="28"/>
              </w:rPr>
              <w:t>Projekts šo jomu neskar.</w:t>
            </w:r>
          </w:p>
        </w:tc>
      </w:tr>
    </w:tbl>
    <w:p w14:paraId="681C31CB" w14:textId="77777777" w:rsidR="00977FBF" w:rsidRPr="00696D8C" w:rsidRDefault="00977FBF" w:rsidP="00D856F7">
      <w:pPr>
        <w:spacing w:after="0" w:line="240" w:lineRule="auto"/>
        <w:rPr>
          <w:rFonts w:ascii="Times New Roman" w:eastAsia="Times New Roman" w:hAnsi="Times New Roman" w:cs="Times New Roman"/>
          <w:bCs/>
          <w:sz w:val="28"/>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408"/>
        <w:gridCol w:w="6089"/>
      </w:tblGrid>
      <w:tr w:rsidR="007E4536" w:rsidRPr="00696D8C" w14:paraId="086ACBDF" w14:textId="77777777" w:rsidTr="006155DA">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90BE55B" w14:textId="1F22D273" w:rsidR="007E4536" w:rsidRPr="00696D8C" w:rsidRDefault="007E4536" w:rsidP="006155DA">
            <w:pPr>
              <w:spacing w:after="0" w:line="240" w:lineRule="auto"/>
              <w:jc w:val="center"/>
              <w:rPr>
                <w:rFonts w:ascii="Times New Roman" w:eastAsia="Times New Roman" w:hAnsi="Times New Roman" w:cs="Times New Roman"/>
                <w:b/>
                <w:sz w:val="28"/>
                <w:szCs w:val="28"/>
              </w:rPr>
            </w:pPr>
            <w:r w:rsidRPr="00696D8C">
              <w:rPr>
                <w:rFonts w:ascii="Times New Roman" w:eastAsia="Times New Roman" w:hAnsi="Times New Roman" w:cs="Times New Roman"/>
                <w:b/>
                <w:sz w:val="28"/>
                <w:szCs w:val="28"/>
              </w:rPr>
              <w:t>IV. Tiesību akta projekta ietekme uz spēkā esošo tiesību normu sistēmu</w:t>
            </w:r>
          </w:p>
        </w:tc>
      </w:tr>
      <w:tr w:rsidR="007E4536" w:rsidRPr="00696D8C" w14:paraId="06745513" w14:textId="77777777" w:rsidTr="00A17EEC">
        <w:tc>
          <w:tcPr>
            <w:tcW w:w="311" w:type="pct"/>
            <w:tcBorders>
              <w:top w:val="single" w:sz="4" w:space="0" w:color="auto"/>
              <w:left w:val="single" w:sz="4" w:space="0" w:color="auto"/>
              <w:bottom w:val="single" w:sz="4" w:space="0" w:color="auto"/>
              <w:right w:val="single" w:sz="4" w:space="0" w:color="auto"/>
            </w:tcBorders>
            <w:hideMark/>
          </w:tcPr>
          <w:p w14:paraId="041BEE80" w14:textId="26FC4AEA" w:rsidR="007E4536" w:rsidRPr="00696D8C" w:rsidRDefault="007E4536" w:rsidP="00A17EEC">
            <w:pPr>
              <w:tabs>
                <w:tab w:val="center" w:pos="252"/>
              </w:tabs>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1.</w:t>
            </w:r>
          </w:p>
        </w:tc>
        <w:tc>
          <w:tcPr>
            <w:tcW w:w="1329" w:type="pct"/>
            <w:tcBorders>
              <w:top w:val="single" w:sz="4" w:space="0" w:color="auto"/>
              <w:left w:val="single" w:sz="4" w:space="0" w:color="auto"/>
              <w:bottom w:val="single" w:sz="4" w:space="0" w:color="auto"/>
              <w:right w:val="single" w:sz="4" w:space="0" w:color="auto"/>
            </w:tcBorders>
            <w:hideMark/>
          </w:tcPr>
          <w:p w14:paraId="3E9958BA" w14:textId="4AC75013" w:rsidR="007E4536" w:rsidRPr="00696D8C" w:rsidRDefault="007E4536" w:rsidP="006155DA">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Saistītie tiesību aktu projekti</w:t>
            </w:r>
          </w:p>
        </w:tc>
        <w:tc>
          <w:tcPr>
            <w:tcW w:w="3360" w:type="pct"/>
            <w:tcBorders>
              <w:top w:val="single" w:sz="4" w:space="0" w:color="auto"/>
              <w:left w:val="single" w:sz="4" w:space="0" w:color="auto"/>
              <w:bottom w:val="single" w:sz="4" w:space="0" w:color="auto"/>
              <w:right w:val="single" w:sz="4" w:space="0" w:color="auto"/>
            </w:tcBorders>
          </w:tcPr>
          <w:p w14:paraId="1BEDA234" w14:textId="082CCC44" w:rsidR="007E4536" w:rsidRPr="00696D8C" w:rsidRDefault="003D6375" w:rsidP="007E453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Grozījumi </w:t>
            </w:r>
            <w:r w:rsidRPr="003D6375">
              <w:rPr>
                <w:rFonts w:ascii="Times New Roman" w:eastAsia="Times New Roman" w:hAnsi="Times New Roman" w:cs="Times New Roman"/>
                <w:sz w:val="28"/>
                <w:szCs w:val="28"/>
              </w:rPr>
              <w:t>Ministru kabineta 2009.</w:t>
            </w:r>
            <w:r>
              <w:rPr>
                <w:rFonts w:ascii="Times New Roman" w:eastAsia="Times New Roman" w:hAnsi="Times New Roman" w:cs="Times New Roman"/>
                <w:sz w:val="28"/>
                <w:szCs w:val="28"/>
              </w:rPr>
              <w:t xml:space="preserve"> </w:t>
            </w:r>
            <w:r w:rsidRPr="003D6375">
              <w:rPr>
                <w:rFonts w:ascii="Times New Roman" w:eastAsia="Times New Roman" w:hAnsi="Times New Roman" w:cs="Times New Roman"/>
                <w:sz w:val="28"/>
                <w:szCs w:val="28"/>
              </w:rPr>
              <w:t>gada 20.</w:t>
            </w:r>
            <w:r>
              <w:rPr>
                <w:rFonts w:ascii="Times New Roman" w:eastAsia="Times New Roman" w:hAnsi="Times New Roman" w:cs="Times New Roman"/>
                <w:sz w:val="28"/>
                <w:szCs w:val="28"/>
              </w:rPr>
              <w:t xml:space="preserve"> </w:t>
            </w:r>
            <w:r w:rsidRPr="003D6375">
              <w:rPr>
                <w:rFonts w:ascii="Times New Roman" w:eastAsia="Times New Roman" w:hAnsi="Times New Roman" w:cs="Times New Roman"/>
                <w:sz w:val="28"/>
                <w:szCs w:val="28"/>
              </w:rPr>
              <w:t>janvār</w:t>
            </w:r>
            <w:r>
              <w:rPr>
                <w:rFonts w:ascii="Times New Roman" w:eastAsia="Times New Roman" w:hAnsi="Times New Roman" w:cs="Times New Roman"/>
                <w:sz w:val="28"/>
                <w:szCs w:val="28"/>
              </w:rPr>
              <w:t>a</w:t>
            </w:r>
            <w:r w:rsidRPr="003D6375">
              <w:rPr>
                <w:rFonts w:ascii="Times New Roman" w:eastAsia="Times New Roman" w:hAnsi="Times New Roman" w:cs="Times New Roman"/>
                <w:sz w:val="28"/>
                <w:szCs w:val="28"/>
              </w:rPr>
              <w:t xml:space="preserve"> noteikum</w:t>
            </w:r>
            <w:r>
              <w:rPr>
                <w:rFonts w:ascii="Times New Roman" w:eastAsia="Times New Roman" w:hAnsi="Times New Roman" w:cs="Times New Roman"/>
                <w:sz w:val="28"/>
                <w:szCs w:val="28"/>
              </w:rPr>
              <w:t>os</w:t>
            </w:r>
            <w:r w:rsidRPr="003D6375">
              <w:rPr>
                <w:rFonts w:ascii="Times New Roman" w:eastAsia="Times New Roman" w:hAnsi="Times New Roman" w:cs="Times New Roman"/>
                <w:sz w:val="28"/>
                <w:szCs w:val="28"/>
              </w:rPr>
              <w:t xml:space="preserve"> Nr.</w:t>
            </w:r>
            <w:r>
              <w:rPr>
                <w:rFonts w:ascii="Times New Roman" w:eastAsia="Times New Roman" w:hAnsi="Times New Roman" w:cs="Times New Roman"/>
                <w:sz w:val="28"/>
                <w:szCs w:val="28"/>
              </w:rPr>
              <w:t xml:space="preserve"> </w:t>
            </w:r>
            <w:r w:rsidRPr="003D6375">
              <w:rPr>
                <w:rFonts w:ascii="Times New Roman" w:eastAsia="Times New Roman" w:hAnsi="Times New Roman" w:cs="Times New Roman"/>
                <w:sz w:val="28"/>
                <w:szCs w:val="28"/>
              </w:rPr>
              <w:t>60 “Noteikumi par obligātajām prasībām ārstniecības iestādēm un to struktūrvienībām</w:t>
            </w:r>
            <w:r w:rsidR="00340B6C">
              <w:rPr>
                <w:rFonts w:ascii="Times New Roman" w:eastAsia="Times New Roman" w:hAnsi="Times New Roman" w:cs="Times New Roman"/>
                <w:sz w:val="28"/>
                <w:szCs w:val="28"/>
              </w:rPr>
              <w:t>”, kuros</w:t>
            </w:r>
            <w:r w:rsidR="00D163D5">
              <w:rPr>
                <w:rFonts w:ascii="Times New Roman" w:eastAsia="Times New Roman" w:hAnsi="Times New Roman" w:cs="Times New Roman"/>
                <w:bCs/>
                <w:sz w:val="28"/>
                <w:szCs w:val="28"/>
              </w:rPr>
              <w:t xml:space="preserve"> paredzēts </w:t>
            </w:r>
            <w:r w:rsidR="00F10231">
              <w:rPr>
                <w:rFonts w:ascii="Times New Roman" w:hAnsi="Times New Roman" w:cs="Times New Roman"/>
                <w:sz w:val="28"/>
                <w:szCs w:val="28"/>
              </w:rPr>
              <w:t>precizēt</w:t>
            </w:r>
            <w:r w:rsidR="00F10231" w:rsidRPr="00267203">
              <w:rPr>
                <w:rFonts w:ascii="Times New Roman" w:hAnsi="Times New Roman" w:cs="Times New Roman"/>
                <w:color w:val="000000" w:themeColor="text1"/>
                <w:sz w:val="28"/>
                <w:szCs w:val="28"/>
              </w:rPr>
              <w:t xml:space="preserve"> prasības, kas attiecas uz ārstniecības iestādēm un tajās strādājošām ārstniecības personām, kuras nodrošina asins komponentu pārliešanu recipientiem</w:t>
            </w:r>
            <w:r w:rsidR="00F10231">
              <w:rPr>
                <w:rFonts w:ascii="Times New Roman" w:hAnsi="Times New Roman" w:cs="Times New Roman"/>
                <w:color w:val="000000" w:themeColor="text1"/>
                <w:sz w:val="28"/>
                <w:szCs w:val="28"/>
              </w:rPr>
              <w:t>.</w:t>
            </w:r>
          </w:p>
        </w:tc>
      </w:tr>
      <w:tr w:rsidR="007E4536" w:rsidRPr="00696D8C" w14:paraId="1BF94135" w14:textId="77777777" w:rsidTr="006155DA">
        <w:tc>
          <w:tcPr>
            <w:tcW w:w="311" w:type="pct"/>
            <w:tcBorders>
              <w:top w:val="single" w:sz="4" w:space="0" w:color="auto"/>
              <w:left w:val="single" w:sz="4" w:space="0" w:color="auto"/>
              <w:bottom w:val="single" w:sz="4" w:space="0" w:color="auto"/>
              <w:right w:val="single" w:sz="4" w:space="0" w:color="auto"/>
            </w:tcBorders>
            <w:hideMark/>
          </w:tcPr>
          <w:p w14:paraId="37F06583" w14:textId="77777777" w:rsidR="007E4536" w:rsidRPr="00696D8C" w:rsidRDefault="007E4536" w:rsidP="006155DA">
            <w:pPr>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2.</w:t>
            </w:r>
          </w:p>
        </w:tc>
        <w:tc>
          <w:tcPr>
            <w:tcW w:w="1329" w:type="pct"/>
            <w:tcBorders>
              <w:top w:val="single" w:sz="4" w:space="0" w:color="auto"/>
              <w:left w:val="single" w:sz="4" w:space="0" w:color="auto"/>
              <w:bottom w:val="single" w:sz="4" w:space="0" w:color="auto"/>
              <w:right w:val="single" w:sz="4" w:space="0" w:color="auto"/>
            </w:tcBorders>
            <w:hideMark/>
          </w:tcPr>
          <w:p w14:paraId="1C73217E" w14:textId="30FB45CB" w:rsidR="007E4536" w:rsidRPr="00696D8C" w:rsidRDefault="007E4536" w:rsidP="006155DA">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Atbildīgā institūcija</w:t>
            </w:r>
          </w:p>
        </w:tc>
        <w:tc>
          <w:tcPr>
            <w:tcW w:w="3360" w:type="pct"/>
            <w:tcBorders>
              <w:top w:val="single" w:sz="4" w:space="0" w:color="auto"/>
              <w:left w:val="single" w:sz="4" w:space="0" w:color="auto"/>
              <w:bottom w:val="single" w:sz="4" w:space="0" w:color="auto"/>
              <w:right w:val="single" w:sz="4" w:space="0" w:color="auto"/>
            </w:tcBorders>
          </w:tcPr>
          <w:p w14:paraId="07D89C85" w14:textId="4A7335E1" w:rsidR="007E4536" w:rsidRPr="00696D8C" w:rsidRDefault="00AC59D5" w:rsidP="006155DA">
            <w:pPr>
              <w:pStyle w:val="NormalWeb"/>
              <w:shd w:val="clear" w:color="auto" w:fill="FFFFFF"/>
              <w:spacing w:line="256" w:lineRule="auto"/>
              <w:jc w:val="both"/>
              <w:rPr>
                <w:sz w:val="28"/>
                <w:szCs w:val="28"/>
                <w:shd w:val="clear" w:color="auto" w:fill="FFFFFF"/>
              </w:rPr>
            </w:pPr>
            <w:r>
              <w:rPr>
                <w:sz w:val="28"/>
                <w:szCs w:val="28"/>
                <w:shd w:val="clear" w:color="auto" w:fill="FFFFFF"/>
              </w:rPr>
              <w:t>Veselības ministrija.</w:t>
            </w:r>
          </w:p>
        </w:tc>
      </w:tr>
      <w:tr w:rsidR="007E4536" w:rsidRPr="00696D8C" w14:paraId="03142B10" w14:textId="77777777" w:rsidTr="006155DA">
        <w:tc>
          <w:tcPr>
            <w:tcW w:w="311" w:type="pct"/>
            <w:tcBorders>
              <w:top w:val="single" w:sz="4" w:space="0" w:color="auto"/>
              <w:left w:val="single" w:sz="4" w:space="0" w:color="auto"/>
              <w:bottom w:val="single" w:sz="4" w:space="0" w:color="auto"/>
              <w:right w:val="single" w:sz="4" w:space="0" w:color="auto"/>
            </w:tcBorders>
            <w:hideMark/>
          </w:tcPr>
          <w:p w14:paraId="402825A8" w14:textId="5E38C5B0" w:rsidR="007E4536" w:rsidRPr="00696D8C" w:rsidRDefault="007E4536" w:rsidP="006155DA">
            <w:pPr>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3.</w:t>
            </w:r>
          </w:p>
        </w:tc>
        <w:tc>
          <w:tcPr>
            <w:tcW w:w="1329" w:type="pct"/>
            <w:tcBorders>
              <w:top w:val="single" w:sz="4" w:space="0" w:color="auto"/>
              <w:left w:val="single" w:sz="4" w:space="0" w:color="auto"/>
              <w:bottom w:val="single" w:sz="4" w:space="0" w:color="auto"/>
              <w:right w:val="single" w:sz="4" w:space="0" w:color="auto"/>
            </w:tcBorders>
            <w:hideMark/>
          </w:tcPr>
          <w:p w14:paraId="5F39771F" w14:textId="77777777" w:rsidR="007E4536" w:rsidRPr="00696D8C" w:rsidRDefault="007E4536" w:rsidP="006155DA">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Cita informācija</w:t>
            </w:r>
          </w:p>
        </w:tc>
        <w:tc>
          <w:tcPr>
            <w:tcW w:w="3360" w:type="pct"/>
            <w:tcBorders>
              <w:top w:val="single" w:sz="4" w:space="0" w:color="auto"/>
              <w:left w:val="single" w:sz="4" w:space="0" w:color="auto"/>
              <w:bottom w:val="single" w:sz="4" w:space="0" w:color="auto"/>
              <w:right w:val="single" w:sz="4" w:space="0" w:color="auto"/>
            </w:tcBorders>
            <w:hideMark/>
          </w:tcPr>
          <w:p w14:paraId="3A9BB8FA" w14:textId="07B1ED08" w:rsidR="007E4536" w:rsidRPr="00696D8C" w:rsidRDefault="0035001B" w:rsidP="006155DA">
            <w:pPr>
              <w:spacing w:after="0" w:line="240" w:lineRule="auto"/>
              <w:jc w:val="both"/>
              <w:rPr>
                <w:rFonts w:ascii="Times New Roman" w:eastAsia="Times New Roman" w:hAnsi="Times New Roman" w:cs="Times New Roman"/>
                <w:bCs/>
                <w:sz w:val="28"/>
                <w:szCs w:val="28"/>
              </w:rPr>
            </w:pPr>
            <w:r>
              <w:rPr>
                <w:rFonts w:ascii="Times New Roman" w:hAnsi="Times New Roman" w:cs="Times New Roman"/>
                <w:sz w:val="28"/>
                <w:szCs w:val="28"/>
              </w:rPr>
              <w:t>Nav.</w:t>
            </w:r>
          </w:p>
        </w:tc>
      </w:tr>
    </w:tbl>
    <w:p w14:paraId="1A68D5C0" w14:textId="4304E2C1" w:rsidR="007E4536" w:rsidRPr="00696D8C" w:rsidRDefault="007E4536" w:rsidP="00D74883">
      <w:pPr>
        <w:spacing w:after="0" w:line="240" w:lineRule="auto"/>
        <w:rPr>
          <w:rFonts w:ascii="Times New Roman" w:eastAsia="Times New Roman" w:hAnsi="Times New Roman" w:cs="Times New Roman"/>
          <w:bCs/>
          <w:sz w:val="28"/>
          <w:szCs w:val="28"/>
          <w:lang w:eastAsia="lv-LV"/>
        </w:rPr>
      </w:pPr>
    </w:p>
    <w:tbl>
      <w:tblPr>
        <w:tblW w:w="5003"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066"/>
      </w:tblGrid>
      <w:tr w:rsidR="00BD50E2" w:rsidRPr="00696D8C" w14:paraId="564EC935" w14:textId="77777777" w:rsidTr="009D7D59">
        <w:tc>
          <w:tcPr>
            <w:tcW w:w="9066" w:type="dxa"/>
            <w:tcBorders>
              <w:top w:val="single" w:sz="4" w:space="0" w:color="auto"/>
              <w:left w:val="single" w:sz="4" w:space="0" w:color="auto"/>
              <w:bottom w:val="single" w:sz="4" w:space="0" w:color="auto"/>
              <w:right w:val="single" w:sz="4" w:space="0" w:color="auto"/>
            </w:tcBorders>
            <w:vAlign w:val="center"/>
            <w:hideMark/>
          </w:tcPr>
          <w:p w14:paraId="20401ABF" w14:textId="77777777" w:rsidR="0007278B" w:rsidRPr="00696D8C" w:rsidRDefault="0007278B" w:rsidP="00AE4EFC">
            <w:pPr>
              <w:spacing w:after="0" w:line="240" w:lineRule="auto"/>
              <w:jc w:val="center"/>
              <w:rPr>
                <w:rFonts w:ascii="Times New Roman" w:eastAsia="Times New Roman" w:hAnsi="Times New Roman" w:cs="Times New Roman"/>
                <w:b/>
                <w:sz w:val="28"/>
                <w:szCs w:val="28"/>
              </w:rPr>
            </w:pPr>
            <w:r w:rsidRPr="00696D8C">
              <w:rPr>
                <w:rFonts w:ascii="Times New Roman" w:eastAsia="Times New Roman" w:hAnsi="Times New Roman" w:cs="Times New Roman"/>
                <w:b/>
                <w:sz w:val="28"/>
                <w:szCs w:val="28"/>
              </w:rPr>
              <w:t>V. Tiesību akta projekta atbilstība Latvijas Republikas starptautiskajām saistībām</w:t>
            </w:r>
          </w:p>
        </w:tc>
      </w:tr>
      <w:tr w:rsidR="00BD50E2" w:rsidRPr="00696D8C" w14:paraId="6EDB450D" w14:textId="77777777" w:rsidTr="009D7D59">
        <w:tc>
          <w:tcPr>
            <w:tcW w:w="9066" w:type="dxa"/>
            <w:tcBorders>
              <w:top w:val="single" w:sz="4" w:space="0" w:color="auto"/>
              <w:left w:val="single" w:sz="4" w:space="0" w:color="auto"/>
              <w:bottom w:val="single" w:sz="4" w:space="0" w:color="auto"/>
              <w:right w:val="single" w:sz="4" w:space="0" w:color="auto"/>
            </w:tcBorders>
            <w:vAlign w:val="center"/>
          </w:tcPr>
          <w:p w14:paraId="2789DC75" w14:textId="77777777" w:rsidR="0007278B" w:rsidRPr="00696D8C" w:rsidRDefault="0007278B" w:rsidP="00AE4EFC">
            <w:pPr>
              <w:spacing w:after="0" w:line="240" w:lineRule="auto"/>
              <w:jc w:val="center"/>
              <w:rPr>
                <w:rFonts w:ascii="Times New Roman" w:hAnsi="Times New Roman" w:cs="Times New Roman"/>
                <w:bCs/>
                <w:sz w:val="28"/>
                <w:szCs w:val="28"/>
              </w:rPr>
            </w:pPr>
            <w:r w:rsidRPr="00696D8C">
              <w:rPr>
                <w:rFonts w:ascii="Times New Roman" w:eastAsia="Times New Roman" w:hAnsi="Times New Roman" w:cs="Times New Roman"/>
                <w:bCs/>
                <w:sz w:val="28"/>
                <w:szCs w:val="28"/>
                <w:lang w:eastAsia="lv-LV"/>
              </w:rPr>
              <w:t>Projekts šo jomu neskar.</w:t>
            </w:r>
          </w:p>
        </w:tc>
      </w:tr>
    </w:tbl>
    <w:p w14:paraId="0A68BDAE" w14:textId="77777777" w:rsidR="0007278B" w:rsidRPr="00696D8C" w:rsidRDefault="0007278B" w:rsidP="00AE4EFC">
      <w:pPr>
        <w:spacing w:after="0" w:line="240" w:lineRule="auto"/>
        <w:rPr>
          <w:rFonts w:ascii="Times New Roman" w:eastAsia="Times New Roman" w:hAnsi="Times New Roman" w:cs="Times New Roman"/>
          <w:bCs/>
          <w:sz w:val="28"/>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408"/>
        <w:gridCol w:w="6089"/>
      </w:tblGrid>
      <w:tr w:rsidR="00BD50E2" w:rsidRPr="00696D8C" w14:paraId="3B8C0E70" w14:textId="77777777" w:rsidTr="009D7D59">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F4169FD" w14:textId="77777777" w:rsidR="0007278B" w:rsidRPr="00696D8C" w:rsidRDefault="0007278B" w:rsidP="00AE4EFC">
            <w:pPr>
              <w:spacing w:after="0" w:line="240" w:lineRule="auto"/>
              <w:jc w:val="center"/>
              <w:rPr>
                <w:rFonts w:ascii="Times New Roman" w:eastAsia="Times New Roman" w:hAnsi="Times New Roman" w:cs="Times New Roman"/>
                <w:b/>
                <w:sz w:val="28"/>
                <w:szCs w:val="28"/>
              </w:rPr>
            </w:pPr>
            <w:r w:rsidRPr="00696D8C">
              <w:rPr>
                <w:rFonts w:ascii="Times New Roman" w:eastAsia="Times New Roman" w:hAnsi="Times New Roman" w:cs="Times New Roman"/>
                <w:b/>
                <w:sz w:val="28"/>
                <w:szCs w:val="28"/>
              </w:rPr>
              <w:t>VI. Sabiedrības līdzdalība un komunikācijas aktivitātes</w:t>
            </w:r>
          </w:p>
        </w:tc>
      </w:tr>
      <w:tr w:rsidR="00BD50E2" w:rsidRPr="00696D8C" w14:paraId="0CD25E89" w14:textId="77777777" w:rsidTr="00A17EEC">
        <w:tc>
          <w:tcPr>
            <w:tcW w:w="311" w:type="pct"/>
            <w:tcBorders>
              <w:top w:val="single" w:sz="4" w:space="0" w:color="auto"/>
              <w:left w:val="single" w:sz="4" w:space="0" w:color="auto"/>
              <w:bottom w:val="single" w:sz="4" w:space="0" w:color="auto"/>
              <w:right w:val="single" w:sz="4" w:space="0" w:color="auto"/>
            </w:tcBorders>
            <w:hideMark/>
          </w:tcPr>
          <w:p w14:paraId="0712BE86" w14:textId="3366C382" w:rsidR="0007278B" w:rsidRPr="00696D8C" w:rsidRDefault="0007278B" w:rsidP="00A17EEC">
            <w:pPr>
              <w:tabs>
                <w:tab w:val="center" w:pos="252"/>
              </w:tabs>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1.</w:t>
            </w:r>
          </w:p>
        </w:tc>
        <w:tc>
          <w:tcPr>
            <w:tcW w:w="1329" w:type="pct"/>
            <w:tcBorders>
              <w:top w:val="single" w:sz="4" w:space="0" w:color="auto"/>
              <w:left w:val="single" w:sz="4" w:space="0" w:color="auto"/>
              <w:bottom w:val="single" w:sz="4" w:space="0" w:color="auto"/>
              <w:right w:val="single" w:sz="4" w:space="0" w:color="auto"/>
            </w:tcBorders>
            <w:hideMark/>
          </w:tcPr>
          <w:p w14:paraId="7523DA5E" w14:textId="77777777" w:rsidR="0007278B" w:rsidRPr="00696D8C" w:rsidRDefault="0007278B" w:rsidP="00AE4EFC">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Plānotās sabiedrības līdzdalības un komunikācijas aktivitātes saistībā ar projektu</w:t>
            </w:r>
          </w:p>
        </w:tc>
        <w:tc>
          <w:tcPr>
            <w:tcW w:w="3360" w:type="pct"/>
            <w:tcBorders>
              <w:top w:val="single" w:sz="4" w:space="0" w:color="auto"/>
              <w:left w:val="single" w:sz="4" w:space="0" w:color="auto"/>
              <w:bottom w:val="single" w:sz="4" w:space="0" w:color="auto"/>
              <w:right w:val="single" w:sz="4" w:space="0" w:color="auto"/>
            </w:tcBorders>
          </w:tcPr>
          <w:p w14:paraId="7B7D311F" w14:textId="2E0F1A1F" w:rsidR="00137903" w:rsidRPr="00696D8C" w:rsidRDefault="009C1A83" w:rsidP="000301F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iCs/>
                <w:sz w:val="28"/>
                <w:szCs w:val="28"/>
                <w:lang w:eastAsia="lv-LV"/>
              </w:rPr>
              <w:t>P</w:t>
            </w:r>
            <w:r w:rsidR="00137903" w:rsidRPr="00696D8C">
              <w:rPr>
                <w:rFonts w:ascii="Times New Roman" w:eastAsia="Times New Roman" w:hAnsi="Times New Roman" w:cs="Times New Roman"/>
                <w:iCs/>
                <w:sz w:val="28"/>
                <w:szCs w:val="28"/>
                <w:lang w:eastAsia="lv-LV"/>
              </w:rPr>
              <w:t>rojekt</w:t>
            </w:r>
            <w:r>
              <w:rPr>
                <w:rFonts w:ascii="Times New Roman" w:eastAsia="Times New Roman" w:hAnsi="Times New Roman" w:cs="Times New Roman"/>
                <w:iCs/>
                <w:sz w:val="28"/>
                <w:szCs w:val="28"/>
                <w:lang w:eastAsia="lv-LV"/>
              </w:rPr>
              <w:t>u</w:t>
            </w:r>
            <w:r w:rsidR="00137903" w:rsidRPr="00696D8C">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 xml:space="preserve">paredzēts nodot publiskai apspriešanai. </w:t>
            </w:r>
          </w:p>
        </w:tc>
      </w:tr>
      <w:tr w:rsidR="00BD50E2" w:rsidRPr="00696D8C" w14:paraId="16BE2AE7" w14:textId="77777777" w:rsidTr="00C2181D">
        <w:tc>
          <w:tcPr>
            <w:tcW w:w="311" w:type="pct"/>
            <w:tcBorders>
              <w:top w:val="single" w:sz="4" w:space="0" w:color="auto"/>
              <w:left w:val="single" w:sz="4" w:space="0" w:color="auto"/>
              <w:bottom w:val="single" w:sz="4" w:space="0" w:color="auto"/>
              <w:right w:val="single" w:sz="4" w:space="0" w:color="auto"/>
            </w:tcBorders>
            <w:hideMark/>
          </w:tcPr>
          <w:p w14:paraId="7D817360" w14:textId="77777777" w:rsidR="0007278B" w:rsidRPr="00696D8C" w:rsidRDefault="0007278B" w:rsidP="00AE4EFC">
            <w:pPr>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2.</w:t>
            </w:r>
          </w:p>
        </w:tc>
        <w:tc>
          <w:tcPr>
            <w:tcW w:w="1329" w:type="pct"/>
            <w:tcBorders>
              <w:top w:val="single" w:sz="4" w:space="0" w:color="auto"/>
              <w:left w:val="single" w:sz="4" w:space="0" w:color="auto"/>
              <w:bottom w:val="single" w:sz="4" w:space="0" w:color="auto"/>
              <w:right w:val="single" w:sz="4" w:space="0" w:color="auto"/>
            </w:tcBorders>
            <w:hideMark/>
          </w:tcPr>
          <w:p w14:paraId="6A342042" w14:textId="27286997" w:rsidR="00B86F86" w:rsidRPr="00696D8C" w:rsidRDefault="0007278B" w:rsidP="00886D79">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Sabiedrības līdzdalība projekta izstrādē</w:t>
            </w:r>
          </w:p>
        </w:tc>
        <w:tc>
          <w:tcPr>
            <w:tcW w:w="3360" w:type="pct"/>
            <w:tcBorders>
              <w:top w:val="single" w:sz="4" w:space="0" w:color="auto"/>
              <w:left w:val="single" w:sz="4" w:space="0" w:color="auto"/>
              <w:bottom w:val="single" w:sz="4" w:space="0" w:color="auto"/>
              <w:right w:val="single" w:sz="4" w:space="0" w:color="auto"/>
            </w:tcBorders>
          </w:tcPr>
          <w:p w14:paraId="6CC683E0" w14:textId="4DE33CFF" w:rsidR="0007278B" w:rsidRPr="00696D8C" w:rsidRDefault="004D5BFE" w:rsidP="000301FC">
            <w:pPr>
              <w:pStyle w:val="NormalWeb"/>
              <w:shd w:val="clear" w:color="auto" w:fill="FFFFFF"/>
              <w:spacing w:line="256" w:lineRule="auto"/>
              <w:jc w:val="both"/>
              <w:rPr>
                <w:sz w:val="28"/>
                <w:szCs w:val="28"/>
                <w:shd w:val="clear" w:color="auto" w:fill="FFFFFF"/>
              </w:rPr>
            </w:pPr>
            <w:r w:rsidRPr="00696D8C">
              <w:rPr>
                <w:bCs/>
                <w:sz w:val="28"/>
                <w:szCs w:val="28"/>
              </w:rPr>
              <w:t>Projekts šo jomu neskar.</w:t>
            </w:r>
          </w:p>
        </w:tc>
      </w:tr>
      <w:tr w:rsidR="00BD50E2" w:rsidRPr="00696D8C" w14:paraId="4479B05F" w14:textId="77777777" w:rsidTr="00886D79">
        <w:trPr>
          <w:trHeight w:val="585"/>
        </w:trPr>
        <w:tc>
          <w:tcPr>
            <w:tcW w:w="311" w:type="pct"/>
            <w:tcBorders>
              <w:top w:val="single" w:sz="4" w:space="0" w:color="auto"/>
              <w:left w:val="single" w:sz="4" w:space="0" w:color="auto"/>
              <w:bottom w:val="single" w:sz="4" w:space="0" w:color="auto"/>
              <w:right w:val="single" w:sz="4" w:space="0" w:color="auto"/>
            </w:tcBorders>
            <w:hideMark/>
          </w:tcPr>
          <w:p w14:paraId="1880A395" w14:textId="77777777" w:rsidR="0007278B" w:rsidRPr="00696D8C" w:rsidRDefault="0007278B" w:rsidP="00AE4EFC">
            <w:pPr>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3.</w:t>
            </w:r>
          </w:p>
        </w:tc>
        <w:tc>
          <w:tcPr>
            <w:tcW w:w="1329" w:type="pct"/>
            <w:tcBorders>
              <w:top w:val="single" w:sz="4" w:space="0" w:color="auto"/>
              <w:left w:val="single" w:sz="4" w:space="0" w:color="auto"/>
              <w:bottom w:val="single" w:sz="4" w:space="0" w:color="auto"/>
              <w:right w:val="single" w:sz="4" w:space="0" w:color="auto"/>
            </w:tcBorders>
            <w:hideMark/>
          </w:tcPr>
          <w:p w14:paraId="1A103F6E" w14:textId="77777777" w:rsidR="0007278B" w:rsidRPr="00696D8C" w:rsidRDefault="0007278B" w:rsidP="00AE4EFC">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Sabiedrības līdzdalības rezultāti</w:t>
            </w:r>
          </w:p>
        </w:tc>
        <w:tc>
          <w:tcPr>
            <w:tcW w:w="3360" w:type="pct"/>
            <w:tcBorders>
              <w:top w:val="single" w:sz="4" w:space="0" w:color="auto"/>
              <w:left w:val="single" w:sz="4" w:space="0" w:color="auto"/>
              <w:bottom w:val="single" w:sz="4" w:space="0" w:color="auto"/>
              <w:right w:val="single" w:sz="4" w:space="0" w:color="auto"/>
            </w:tcBorders>
            <w:hideMark/>
          </w:tcPr>
          <w:p w14:paraId="7C5E308E" w14:textId="77777777" w:rsidR="0007278B" w:rsidRPr="00696D8C" w:rsidRDefault="0007278B" w:rsidP="00AE4EFC">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Projekts šo jomu neskar.</w:t>
            </w:r>
          </w:p>
        </w:tc>
      </w:tr>
      <w:tr w:rsidR="00AD1C41" w:rsidRPr="00696D8C" w14:paraId="3EB25715" w14:textId="77777777" w:rsidTr="00C2181D">
        <w:tc>
          <w:tcPr>
            <w:tcW w:w="311" w:type="pct"/>
            <w:tcBorders>
              <w:top w:val="single" w:sz="4" w:space="0" w:color="auto"/>
              <w:left w:val="single" w:sz="4" w:space="0" w:color="auto"/>
              <w:bottom w:val="single" w:sz="4" w:space="0" w:color="auto"/>
              <w:right w:val="single" w:sz="4" w:space="0" w:color="auto"/>
            </w:tcBorders>
            <w:hideMark/>
          </w:tcPr>
          <w:p w14:paraId="0B6FFEDD" w14:textId="77777777" w:rsidR="0007278B" w:rsidRPr="00696D8C" w:rsidRDefault="0007278B" w:rsidP="00AE4EFC">
            <w:pPr>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4.</w:t>
            </w:r>
          </w:p>
        </w:tc>
        <w:tc>
          <w:tcPr>
            <w:tcW w:w="1329" w:type="pct"/>
            <w:tcBorders>
              <w:top w:val="single" w:sz="4" w:space="0" w:color="auto"/>
              <w:left w:val="single" w:sz="4" w:space="0" w:color="auto"/>
              <w:bottom w:val="single" w:sz="4" w:space="0" w:color="auto"/>
              <w:right w:val="single" w:sz="4" w:space="0" w:color="auto"/>
            </w:tcBorders>
            <w:hideMark/>
          </w:tcPr>
          <w:p w14:paraId="681B5BBF" w14:textId="77777777" w:rsidR="0007278B" w:rsidRDefault="0007278B" w:rsidP="00AE4EFC">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Cita informācija</w:t>
            </w:r>
          </w:p>
          <w:p w14:paraId="6291094C" w14:textId="40145C07" w:rsidR="00CE0C19" w:rsidRPr="00CE0C19" w:rsidRDefault="00CE0C19" w:rsidP="00CE0C19">
            <w:pPr>
              <w:jc w:val="center"/>
              <w:rPr>
                <w:rFonts w:ascii="Times New Roman" w:eastAsia="Times New Roman" w:hAnsi="Times New Roman" w:cs="Times New Roman"/>
                <w:sz w:val="28"/>
                <w:szCs w:val="28"/>
              </w:rPr>
            </w:pPr>
          </w:p>
        </w:tc>
        <w:tc>
          <w:tcPr>
            <w:tcW w:w="3360" w:type="pct"/>
            <w:tcBorders>
              <w:top w:val="single" w:sz="4" w:space="0" w:color="auto"/>
              <w:left w:val="single" w:sz="4" w:space="0" w:color="auto"/>
              <w:bottom w:val="single" w:sz="4" w:space="0" w:color="auto"/>
              <w:right w:val="single" w:sz="4" w:space="0" w:color="auto"/>
            </w:tcBorders>
            <w:hideMark/>
          </w:tcPr>
          <w:p w14:paraId="711E9E78" w14:textId="77777777" w:rsidR="0007278B" w:rsidRPr="00696D8C" w:rsidRDefault="0007278B" w:rsidP="00AE4EFC">
            <w:pPr>
              <w:spacing w:after="0" w:line="240" w:lineRule="auto"/>
              <w:jc w:val="both"/>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Nav.</w:t>
            </w:r>
          </w:p>
        </w:tc>
      </w:tr>
    </w:tbl>
    <w:p w14:paraId="1BF5CBAF" w14:textId="77777777" w:rsidR="0007278B" w:rsidRPr="00696D8C" w:rsidRDefault="0007278B" w:rsidP="00AE4EFC">
      <w:pPr>
        <w:spacing w:after="0" w:line="240" w:lineRule="auto"/>
        <w:rPr>
          <w:rFonts w:ascii="Times New Roman" w:eastAsia="Times New Roman" w:hAnsi="Times New Roman" w:cs="Times New Roman"/>
          <w:bCs/>
          <w:sz w:val="28"/>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3258"/>
        <w:gridCol w:w="5239"/>
      </w:tblGrid>
      <w:tr w:rsidR="00BD50E2" w:rsidRPr="00696D8C" w14:paraId="20F6EC7B" w14:textId="77777777" w:rsidTr="009D7D59">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F93B797" w14:textId="77777777" w:rsidR="0007278B" w:rsidRPr="00696D8C" w:rsidRDefault="0007278B" w:rsidP="00AE4EFC">
            <w:pPr>
              <w:spacing w:after="0" w:line="240" w:lineRule="auto"/>
              <w:jc w:val="center"/>
              <w:rPr>
                <w:rFonts w:ascii="Times New Roman" w:eastAsia="Times New Roman" w:hAnsi="Times New Roman" w:cs="Times New Roman"/>
                <w:b/>
                <w:sz w:val="28"/>
                <w:szCs w:val="28"/>
              </w:rPr>
            </w:pPr>
            <w:r w:rsidRPr="00696D8C">
              <w:rPr>
                <w:rFonts w:ascii="Times New Roman" w:eastAsia="Times New Roman" w:hAnsi="Times New Roman" w:cs="Times New Roman"/>
                <w:b/>
                <w:sz w:val="28"/>
                <w:szCs w:val="28"/>
              </w:rPr>
              <w:t>VII. Tiesību akta projekta izpildes nodrošināšana un tās ietekme uz institūcijām</w:t>
            </w:r>
          </w:p>
        </w:tc>
      </w:tr>
      <w:tr w:rsidR="00BD50E2" w:rsidRPr="00696D8C" w14:paraId="76C608A1" w14:textId="77777777" w:rsidTr="003A5C4E">
        <w:tc>
          <w:tcPr>
            <w:tcW w:w="311" w:type="pct"/>
            <w:tcBorders>
              <w:top w:val="single" w:sz="4" w:space="0" w:color="auto"/>
              <w:left w:val="single" w:sz="4" w:space="0" w:color="auto"/>
              <w:bottom w:val="single" w:sz="4" w:space="0" w:color="auto"/>
              <w:right w:val="single" w:sz="4" w:space="0" w:color="auto"/>
            </w:tcBorders>
            <w:hideMark/>
          </w:tcPr>
          <w:p w14:paraId="3BDAEF3E" w14:textId="77777777" w:rsidR="0007278B" w:rsidRPr="00696D8C" w:rsidRDefault="0007278B" w:rsidP="00AE4EFC">
            <w:pPr>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1.</w:t>
            </w:r>
          </w:p>
        </w:tc>
        <w:tc>
          <w:tcPr>
            <w:tcW w:w="1798" w:type="pct"/>
            <w:tcBorders>
              <w:top w:val="single" w:sz="4" w:space="0" w:color="auto"/>
              <w:left w:val="single" w:sz="4" w:space="0" w:color="auto"/>
              <w:bottom w:val="single" w:sz="4" w:space="0" w:color="auto"/>
              <w:right w:val="single" w:sz="4" w:space="0" w:color="auto"/>
            </w:tcBorders>
            <w:hideMark/>
          </w:tcPr>
          <w:p w14:paraId="5918FF14" w14:textId="77777777" w:rsidR="0007278B" w:rsidRPr="00696D8C" w:rsidRDefault="0007278B" w:rsidP="00AE4EFC">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Projekta izpildē iesaistītās institūcijas</w:t>
            </w:r>
          </w:p>
        </w:tc>
        <w:tc>
          <w:tcPr>
            <w:tcW w:w="2890" w:type="pct"/>
            <w:tcBorders>
              <w:top w:val="single" w:sz="4" w:space="0" w:color="auto"/>
              <w:left w:val="single" w:sz="4" w:space="0" w:color="auto"/>
              <w:bottom w:val="single" w:sz="4" w:space="0" w:color="auto"/>
              <w:right w:val="single" w:sz="4" w:space="0" w:color="auto"/>
            </w:tcBorders>
          </w:tcPr>
          <w:p w14:paraId="2EFE8F23" w14:textId="2358DA53" w:rsidR="0007278B" w:rsidRPr="00696D8C" w:rsidRDefault="00A12210" w:rsidP="00AE4EF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VADC, ZVA, ārstniecības iestādes, kurās ir asins sagatavošanas nodaļas, ārstniecības iestādes, kuras nodrošina asins pārliešanu recipientam.</w:t>
            </w:r>
          </w:p>
        </w:tc>
      </w:tr>
      <w:tr w:rsidR="00BD50E2" w:rsidRPr="00696D8C" w14:paraId="3B2F7A21" w14:textId="77777777" w:rsidTr="003A5C4E">
        <w:tc>
          <w:tcPr>
            <w:tcW w:w="311" w:type="pct"/>
            <w:tcBorders>
              <w:top w:val="single" w:sz="4" w:space="0" w:color="auto"/>
              <w:left w:val="single" w:sz="4" w:space="0" w:color="auto"/>
              <w:bottom w:val="single" w:sz="4" w:space="0" w:color="auto"/>
              <w:right w:val="single" w:sz="4" w:space="0" w:color="auto"/>
            </w:tcBorders>
            <w:hideMark/>
          </w:tcPr>
          <w:p w14:paraId="2645FD4E" w14:textId="77777777" w:rsidR="0007278B" w:rsidRPr="00696D8C" w:rsidRDefault="0007278B" w:rsidP="00AE4EFC">
            <w:pPr>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2.</w:t>
            </w:r>
          </w:p>
        </w:tc>
        <w:tc>
          <w:tcPr>
            <w:tcW w:w="1798" w:type="pct"/>
            <w:tcBorders>
              <w:top w:val="single" w:sz="4" w:space="0" w:color="auto"/>
              <w:left w:val="single" w:sz="4" w:space="0" w:color="auto"/>
              <w:bottom w:val="single" w:sz="4" w:space="0" w:color="auto"/>
              <w:right w:val="single" w:sz="4" w:space="0" w:color="auto"/>
            </w:tcBorders>
            <w:hideMark/>
          </w:tcPr>
          <w:p w14:paraId="7B6574EF" w14:textId="77777777" w:rsidR="00317FDB" w:rsidRPr="00696D8C" w:rsidRDefault="0007278B" w:rsidP="00AE4EFC">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Projekta izpildes ietekme uz pārvaldes funkcijām un institucionālo struktūru.</w:t>
            </w:r>
          </w:p>
          <w:p w14:paraId="661353B4" w14:textId="3DDF5AC9" w:rsidR="0007278B" w:rsidRPr="00696D8C" w:rsidRDefault="0007278B" w:rsidP="00AE4EFC">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Jaunu institūciju izveide, esošu institūciju likvidācija vai reorganizācija, to ietekme uz institūcijas cilvēkresursiem</w:t>
            </w:r>
          </w:p>
        </w:tc>
        <w:tc>
          <w:tcPr>
            <w:tcW w:w="2890" w:type="pct"/>
            <w:tcBorders>
              <w:top w:val="single" w:sz="4" w:space="0" w:color="auto"/>
              <w:left w:val="single" w:sz="4" w:space="0" w:color="auto"/>
              <w:bottom w:val="single" w:sz="4" w:space="0" w:color="auto"/>
              <w:right w:val="single" w:sz="4" w:space="0" w:color="auto"/>
            </w:tcBorders>
            <w:hideMark/>
          </w:tcPr>
          <w:p w14:paraId="299E7C17" w14:textId="33701540" w:rsidR="007E4536" w:rsidRPr="00696D8C" w:rsidRDefault="007E4536" w:rsidP="007E4536">
            <w:pPr>
              <w:spacing w:after="0" w:line="240" w:lineRule="auto"/>
              <w:jc w:val="both"/>
              <w:rPr>
                <w:rFonts w:ascii="Times New Roman" w:hAnsi="Times New Roman" w:cs="Times New Roman"/>
                <w:bCs/>
                <w:sz w:val="28"/>
                <w:szCs w:val="28"/>
              </w:rPr>
            </w:pPr>
            <w:r w:rsidRPr="00696D8C">
              <w:rPr>
                <w:rFonts w:ascii="Times New Roman" w:hAnsi="Times New Roman" w:cs="Times New Roman"/>
                <w:bCs/>
                <w:sz w:val="28"/>
                <w:szCs w:val="28"/>
              </w:rPr>
              <w:t>Projekts tiks īstenots esoš</w:t>
            </w:r>
            <w:r w:rsidR="00114943" w:rsidRPr="00696D8C">
              <w:rPr>
                <w:rFonts w:ascii="Times New Roman" w:hAnsi="Times New Roman" w:cs="Times New Roman"/>
                <w:bCs/>
                <w:sz w:val="28"/>
                <w:szCs w:val="28"/>
              </w:rPr>
              <w:t>o</w:t>
            </w:r>
            <w:r w:rsidRPr="00696D8C">
              <w:rPr>
                <w:rFonts w:ascii="Times New Roman" w:hAnsi="Times New Roman" w:cs="Times New Roman"/>
                <w:bCs/>
                <w:sz w:val="28"/>
                <w:szCs w:val="28"/>
              </w:rPr>
              <w:t xml:space="preserve"> institūciju un cilvēkresursu ietvaros. </w:t>
            </w:r>
          </w:p>
          <w:p w14:paraId="0E7F0D57" w14:textId="1E827F4F" w:rsidR="0007278B" w:rsidRPr="00696D8C" w:rsidRDefault="007E4536" w:rsidP="007E4536">
            <w:pPr>
              <w:spacing w:after="0" w:line="240" w:lineRule="auto"/>
              <w:jc w:val="both"/>
              <w:rPr>
                <w:rFonts w:ascii="Times New Roman" w:eastAsia="Times New Roman" w:hAnsi="Times New Roman" w:cs="Times New Roman"/>
                <w:bCs/>
                <w:sz w:val="28"/>
                <w:szCs w:val="28"/>
              </w:rPr>
            </w:pPr>
            <w:r w:rsidRPr="00696D8C">
              <w:rPr>
                <w:rFonts w:ascii="Times New Roman" w:hAnsi="Times New Roman" w:cs="Times New Roman"/>
                <w:bCs/>
                <w:sz w:val="28"/>
                <w:szCs w:val="28"/>
              </w:rPr>
              <w:t xml:space="preserve">Saistībā ar </w:t>
            </w:r>
            <w:r w:rsidR="00157BFC" w:rsidRPr="00696D8C">
              <w:rPr>
                <w:rFonts w:ascii="Times New Roman" w:hAnsi="Times New Roman" w:cs="Times New Roman"/>
                <w:bCs/>
                <w:sz w:val="28"/>
                <w:szCs w:val="28"/>
              </w:rPr>
              <w:t>p</w:t>
            </w:r>
            <w:r w:rsidRPr="00696D8C">
              <w:rPr>
                <w:rFonts w:ascii="Times New Roman" w:hAnsi="Times New Roman" w:cs="Times New Roman"/>
                <w:bCs/>
                <w:sz w:val="28"/>
                <w:szCs w:val="28"/>
              </w:rPr>
              <w:t>rojekta izpildi nav paredzēta jaunu institūciju izveide, esošu institūciju likvidācija vai reorganizācija.</w:t>
            </w:r>
          </w:p>
        </w:tc>
      </w:tr>
      <w:tr w:rsidR="0007278B" w:rsidRPr="00696D8C" w14:paraId="35A396C5" w14:textId="77777777" w:rsidTr="003A5C4E">
        <w:tc>
          <w:tcPr>
            <w:tcW w:w="311" w:type="pct"/>
            <w:tcBorders>
              <w:top w:val="single" w:sz="4" w:space="0" w:color="auto"/>
              <w:left w:val="single" w:sz="4" w:space="0" w:color="auto"/>
              <w:bottom w:val="single" w:sz="4" w:space="0" w:color="auto"/>
              <w:right w:val="single" w:sz="4" w:space="0" w:color="auto"/>
            </w:tcBorders>
            <w:hideMark/>
          </w:tcPr>
          <w:p w14:paraId="276D0E52" w14:textId="77777777" w:rsidR="0007278B" w:rsidRPr="00696D8C" w:rsidRDefault="0007278B" w:rsidP="00AE4EFC">
            <w:pPr>
              <w:spacing w:after="0" w:line="240" w:lineRule="auto"/>
              <w:jc w:val="center"/>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3.</w:t>
            </w:r>
          </w:p>
        </w:tc>
        <w:tc>
          <w:tcPr>
            <w:tcW w:w="1798" w:type="pct"/>
            <w:tcBorders>
              <w:top w:val="single" w:sz="4" w:space="0" w:color="auto"/>
              <w:left w:val="single" w:sz="4" w:space="0" w:color="auto"/>
              <w:bottom w:val="single" w:sz="4" w:space="0" w:color="auto"/>
              <w:right w:val="single" w:sz="4" w:space="0" w:color="auto"/>
            </w:tcBorders>
            <w:hideMark/>
          </w:tcPr>
          <w:p w14:paraId="1DCB1A76" w14:textId="77777777" w:rsidR="0007278B" w:rsidRPr="00696D8C" w:rsidRDefault="0007278B" w:rsidP="00AE4EFC">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Cita informācija</w:t>
            </w:r>
          </w:p>
        </w:tc>
        <w:tc>
          <w:tcPr>
            <w:tcW w:w="2890" w:type="pct"/>
            <w:tcBorders>
              <w:top w:val="single" w:sz="4" w:space="0" w:color="auto"/>
              <w:left w:val="single" w:sz="4" w:space="0" w:color="auto"/>
              <w:bottom w:val="single" w:sz="4" w:space="0" w:color="auto"/>
              <w:right w:val="single" w:sz="4" w:space="0" w:color="auto"/>
            </w:tcBorders>
            <w:hideMark/>
          </w:tcPr>
          <w:p w14:paraId="13C2DCF6" w14:textId="77777777" w:rsidR="0007278B" w:rsidRPr="00696D8C" w:rsidRDefault="0007278B" w:rsidP="00AE4EFC">
            <w:pPr>
              <w:spacing w:after="0" w:line="240" w:lineRule="auto"/>
              <w:rPr>
                <w:rFonts w:ascii="Times New Roman" w:eastAsia="Times New Roman" w:hAnsi="Times New Roman" w:cs="Times New Roman"/>
                <w:bCs/>
                <w:sz w:val="28"/>
                <w:szCs w:val="28"/>
              </w:rPr>
            </w:pPr>
            <w:r w:rsidRPr="00696D8C">
              <w:rPr>
                <w:rFonts w:ascii="Times New Roman" w:eastAsia="Times New Roman" w:hAnsi="Times New Roman" w:cs="Times New Roman"/>
                <w:bCs/>
                <w:sz w:val="28"/>
                <w:szCs w:val="28"/>
              </w:rPr>
              <w:t>Nav.</w:t>
            </w:r>
          </w:p>
        </w:tc>
      </w:tr>
    </w:tbl>
    <w:p w14:paraId="5FDBCF64" w14:textId="77777777" w:rsidR="0007278B" w:rsidRPr="00696D8C" w:rsidRDefault="0007278B" w:rsidP="00D77367">
      <w:pPr>
        <w:spacing w:after="0" w:line="240" w:lineRule="auto"/>
        <w:jc w:val="both"/>
        <w:rPr>
          <w:rFonts w:ascii="Times New Roman" w:eastAsia="Times New Roman" w:hAnsi="Times New Roman" w:cs="Times New Roman"/>
          <w:bCs/>
          <w:sz w:val="28"/>
          <w:szCs w:val="28"/>
        </w:rPr>
      </w:pPr>
    </w:p>
    <w:p w14:paraId="0EB028A4" w14:textId="77777777" w:rsidR="0007278B" w:rsidRPr="00696D8C" w:rsidRDefault="0007278B" w:rsidP="00D77367">
      <w:pPr>
        <w:spacing w:after="0" w:line="240" w:lineRule="auto"/>
        <w:jc w:val="both"/>
        <w:rPr>
          <w:rFonts w:ascii="Times New Roman" w:eastAsia="Times New Roman" w:hAnsi="Times New Roman" w:cs="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4251"/>
      </w:tblGrid>
      <w:tr w:rsidR="005758FB" w:rsidRPr="00696D8C" w14:paraId="2D80AED7" w14:textId="77777777" w:rsidTr="008C3B71">
        <w:tc>
          <w:tcPr>
            <w:tcW w:w="3686" w:type="dxa"/>
          </w:tcPr>
          <w:p w14:paraId="0DB7F0FC" w14:textId="77777777" w:rsidR="005758FB" w:rsidRPr="00696D8C" w:rsidRDefault="005758FB" w:rsidP="008C3B71">
            <w:pPr>
              <w:pStyle w:val="pamattekststabul"/>
              <w:tabs>
                <w:tab w:val="left" w:pos="3969"/>
                <w:tab w:val="left" w:pos="6379"/>
              </w:tabs>
              <w:rPr>
                <w:rFonts w:eastAsia="Calibri"/>
                <w:sz w:val="28"/>
                <w:szCs w:val="28"/>
                <w:lang w:val="lv-LV"/>
              </w:rPr>
            </w:pPr>
            <w:r w:rsidRPr="00696D8C">
              <w:rPr>
                <w:rFonts w:eastAsia="Calibri"/>
                <w:noProof/>
                <w:sz w:val="28"/>
                <w:szCs w:val="28"/>
                <w:lang w:val="lv-LV"/>
              </w:rPr>
              <w:t>Veselības ministrs</w:t>
            </w:r>
          </w:p>
        </w:tc>
        <w:tc>
          <w:tcPr>
            <w:tcW w:w="4251" w:type="dxa"/>
          </w:tcPr>
          <w:p w14:paraId="1D46503B" w14:textId="73BC9583" w:rsidR="005758FB" w:rsidRPr="00696D8C" w:rsidRDefault="005758FB" w:rsidP="008C3B71">
            <w:pPr>
              <w:pStyle w:val="pamattekststabul"/>
              <w:tabs>
                <w:tab w:val="left" w:pos="3969"/>
                <w:tab w:val="left" w:pos="6379"/>
              </w:tabs>
              <w:jc w:val="right"/>
              <w:rPr>
                <w:rFonts w:eastAsia="Calibri"/>
                <w:sz w:val="28"/>
                <w:szCs w:val="28"/>
                <w:lang w:val="lv-LV"/>
              </w:rPr>
            </w:pPr>
            <w:r w:rsidRPr="00696D8C">
              <w:rPr>
                <w:rFonts w:eastAsia="Calibri"/>
                <w:noProof/>
                <w:sz w:val="28"/>
                <w:szCs w:val="28"/>
                <w:lang w:val="lv-LV"/>
              </w:rPr>
              <w:t>D.</w:t>
            </w:r>
            <w:r w:rsidR="00886D79" w:rsidRPr="00696D8C">
              <w:rPr>
                <w:rFonts w:eastAsia="Calibri"/>
                <w:noProof/>
                <w:sz w:val="28"/>
                <w:szCs w:val="28"/>
                <w:lang w:val="lv-LV"/>
              </w:rPr>
              <w:t> </w:t>
            </w:r>
            <w:r w:rsidRPr="00696D8C">
              <w:rPr>
                <w:rFonts w:eastAsia="Calibri"/>
                <w:noProof/>
                <w:sz w:val="28"/>
                <w:szCs w:val="28"/>
                <w:lang w:val="lv-LV"/>
              </w:rPr>
              <w:t>Pavļuts</w:t>
            </w:r>
          </w:p>
        </w:tc>
      </w:tr>
    </w:tbl>
    <w:p w14:paraId="57123B00" w14:textId="716E592C" w:rsidR="00D77367" w:rsidRPr="00696D8C" w:rsidRDefault="00D77367" w:rsidP="00D77367">
      <w:pPr>
        <w:spacing w:after="0" w:line="240" w:lineRule="auto"/>
        <w:ind w:right="13"/>
        <w:jc w:val="both"/>
        <w:rPr>
          <w:rFonts w:ascii="Times New Roman" w:hAnsi="Times New Roman" w:cs="Times New Roman"/>
          <w:bCs/>
          <w:sz w:val="28"/>
          <w:szCs w:val="28"/>
        </w:rPr>
      </w:pPr>
    </w:p>
    <w:p w14:paraId="226B969B" w14:textId="14F9F32B" w:rsidR="0007278B" w:rsidRDefault="0007278B" w:rsidP="00D77367">
      <w:pPr>
        <w:pStyle w:val="naisf"/>
        <w:spacing w:before="0" w:beforeAutospacing="0" w:after="0" w:afterAutospacing="0"/>
        <w:rPr>
          <w:bCs/>
          <w:sz w:val="28"/>
          <w:szCs w:val="28"/>
        </w:rPr>
      </w:pPr>
      <w:r w:rsidRPr="00696D8C">
        <w:rPr>
          <w:bCs/>
          <w:sz w:val="28"/>
          <w:szCs w:val="28"/>
        </w:rPr>
        <w:t>Vīza: valsts sekretār</w:t>
      </w:r>
      <w:r w:rsidR="00886D79" w:rsidRPr="00696D8C">
        <w:rPr>
          <w:bCs/>
          <w:sz w:val="28"/>
          <w:szCs w:val="28"/>
        </w:rPr>
        <w:t>e</w:t>
      </w:r>
      <w:r w:rsidRPr="00696D8C">
        <w:rPr>
          <w:bCs/>
          <w:sz w:val="28"/>
          <w:szCs w:val="28"/>
        </w:rPr>
        <w:tab/>
      </w:r>
      <w:r w:rsidRPr="00696D8C">
        <w:rPr>
          <w:bCs/>
          <w:sz w:val="28"/>
          <w:szCs w:val="28"/>
        </w:rPr>
        <w:tab/>
      </w:r>
      <w:r w:rsidRPr="00696D8C">
        <w:rPr>
          <w:bCs/>
          <w:sz w:val="28"/>
          <w:szCs w:val="28"/>
        </w:rPr>
        <w:tab/>
      </w:r>
      <w:r w:rsidRPr="00696D8C">
        <w:rPr>
          <w:bCs/>
          <w:sz w:val="28"/>
          <w:szCs w:val="28"/>
        </w:rPr>
        <w:tab/>
      </w:r>
      <w:r w:rsidR="00CE0C19">
        <w:rPr>
          <w:bCs/>
          <w:sz w:val="28"/>
          <w:szCs w:val="28"/>
        </w:rPr>
        <w:t xml:space="preserve">                       I. Dreika</w:t>
      </w:r>
    </w:p>
    <w:p w14:paraId="53F270AB" w14:textId="16D924DE" w:rsidR="00CB6810" w:rsidRDefault="00CB6810" w:rsidP="00D77367">
      <w:pPr>
        <w:pStyle w:val="naisf"/>
        <w:spacing w:before="0" w:beforeAutospacing="0" w:after="0" w:afterAutospacing="0"/>
        <w:rPr>
          <w:bCs/>
          <w:sz w:val="28"/>
          <w:szCs w:val="28"/>
        </w:rPr>
      </w:pPr>
    </w:p>
    <w:p w14:paraId="23681CD6" w14:textId="6C26FC74" w:rsidR="00CB6810" w:rsidRDefault="00CB6810" w:rsidP="00D77367">
      <w:pPr>
        <w:pStyle w:val="naisf"/>
        <w:spacing w:before="0" w:beforeAutospacing="0" w:after="0" w:afterAutospacing="0"/>
        <w:rPr>
          <w:bCs/>
          <w:sz w:val="28"/>
          <w:szCs w:val="28"/>
        </w:rPr>
      </w:pPr>
    </w:p>
    <w:p w14:paraId="2EAFEF9E" w14:textId="2E885572" w:rsidR="00CB6810" w:rsidRDefault="00CB6810" w:rsidP="00D77367">
      <w:pPr>
        <w:pStyle w:val="naisf"/>
        <w:spacing w:before="0" w:beforeAutospacing="0" w:after="0" w:afterAutospacing="0"/>
        <w:rPr>
          <w:bCs/>
          <w:sz w:val="28"/>
          <w:szCs w:val="28"/>
        </w:rPr>
      </w:pPr>
    </w:p>
    <w:p w14:paraId="076EB7BC" w14:textId="49F78D9C" w:rsidR="00886D79" w:rsidRPr="00402850" w:rsidRDefault="00CC0F52" w:rsidP="00886D79">
      <w:pPr>
        <w:spacing w:after="0" w:line="240" w:lineRule="auto"/>
        <w:jc w:val="both"/>
        <w:rPr>
          <w:rFonts w:ascii="Times New Roman" w:hAnsi="Times New Roman" w:cs="Times New Roman"/>
          <w:sz w:val="24"/>
          <w:szCs w:val="24"/>
        </w:rPr>
      </w:pPr>
      <w:r w:rsidRPr="00402850">
        <w:rPr>
          <w:rFonts w:ascii="Times New Roman" w:hAnsi="Times New Roman" w:cs="Times New Roman"/>
          <w:sz w:val="24"/>
          <w:szCs w:val="24"/>
        </w:rPr>
        <w:t>Korņenkova</w:t>
      </w:r>
      <w:r w:rsidR="00886D79" w:rsidRPr="00402850">
        <w:rPr>
          <w:rFonts w:ascii="Times New Roman" w:hAnsi="Times New Roman" w:cs="Times New Roman"/>
          <w:sz w:val="24"/>
          <w:szCs w:val="24"/>
        </w:rPr>
        <w:t xml:space="preserve"> 678760</w:t>
      </w:r>
      <w:r w:rsidRPr="00402850">
        <w:rPr>
          <w:rFonts w:ascii="Times New Roman" w:hAnsi="Times New Roman" w:cs="Times New Roman"/>
          <w:sz w:val="24"/>
          <w:szCs w:val="24"/>
        </w:rPr>
        <w:t>98</w:t>
      </w:r>
    </w:p>
    <w:p w14:paraId="13176AD2" w14:textId="2993A2B8" w:rsidR="00886D79" w:rsidRPr="00FA153F" w:rsidRDefault="009517EE" w:rsidP="00FA153F">
      <w:pPr>
        <w:spacing w:after="0" w:line="240" w:lineRule="auto"/>
        <w:rPr>
          <w:rFonts w:ascii="Times New Roman" w:hAnsi="Times New Roman" w:cs="Times New Roman"/>
          <w:sz w:val="24"/>
          <w:szCs w:val="24"/>
        </w:rPr>
      </w:pPr>
      <w:hyperlink r:id="rId8" w:history="1">
        <w:r w:rsidR="00CC0F52" w:rsidRPr="00402850">
          <w:rPr>
            <w:rStyle w:val="Hyperlink"/>
            <w:rFonts w:ascii="Times New Roman" w:hAnsi="Times New Roman" w:cs="Times New Roman"/>
            <w:sz w:val="24"/>
            <w:szCs w:val="24"/>
          </w:rPr>
          <w:t>viktorija.kornenkova@vm.gov.lv</w:t>
        </w:r>
      </w:hyperlink>
    </w:p>
    <w:sectPr w:rsidR="00886D79" w:rsidRPr="00FA153F" w:rsidSect="006A3F81">
      <w:headerReference w:type="default"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3CCC" w14:textId="77777777" w:rsidR="003C5605" w:rsidRDefault="003C5605" w:rsidP="0007278B">
      <w:pPr>
        <w:spacing w:after="0" w:line="240" w:lineRule="auto"/>
      </w:pPr>
      <w:r>
        <w:separator/>
      </w:r>
    </w:p>
  </w:endnote>
  <w:endnote w:type="continuationSeparator" w:id="0">
    <w:p w14:paraId="7A2A7929" w14:textId="77777777" w:rsidR="003C5605" w:rsidRDefault="003C5605" w:rsidP="0007278B">
      <w:pPr>
        <w:spacing w:after="0" w:line="240" w:lineRule="auto"/>
      </w:pPr>
      <w:r>
        <w:continuationSeparator/>
      </w:r>
    </w:p>
  </w:endnote>
  <w:endnote w:type="continuationNotice" w:id="1">
    <w:p w14:paraId="561FC39B" w14:textId="77777777" w:rsidR="003C5605" w:rsidRDefault="003C56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97BE" w14:textId="6392E221" w:rsidR="00E72C30" w:rsidRPr="00696D8C" w:rsidRDefault="00E72C30" w:rsidP="00E72C30">
    <w:pPr>
      <w:pStyle w:val="Footer"/>
    </w:pPr>
    <w:r w:rsidRPr="00696D8C">
      <w:rPr>
        <w:rFonts w:ascii="Times New Roman" w:eastAsia="Times New Roman" w:hAnsi="Times New Roman" w:cs="Times New Roman"/>
        <w:sz w:val="24"/>
        <w:szCs w:val="24"/>
        <w:lang w:eastAsia="lv-LV"/>
      </w:rPr>
      <w:t>VManot_</w:t>
    </w:r>
    <w:r w:rsidR="00CE0C19">
      <w:rPr>
        <w:rFonts w:ascii="Times New Roman" w:eastAsia="Times New Roman" w:hAnsi="Times New Roman" w:cs="Times New Roman"/>
        <w:sz w:val="24"/>
        <w:szCs w:val="24"/>
        <w:lang w:eastAsia="lv-LV"/>
      </w:rPr>
      <w:t>030</w:t>
    </w:r>
    <w:r w:rsidR="00CB6810">
      <w:rPr>
        <w:rFonts w:ascii="Times New Roman" w:eastAsia="Times New Roman" w:hAnsi="Times New Roman" w:cs="Times New Roman"/>
        <w:sz w:val="24"/>
        <w:szCs w:val="24"/>
        <w:lang w:eastAsia="lv-LV"/>
      </w:rPr>
      <w:t>9</w:t>
    </w:r>
    <w:r w:rsidRPr="00696D8C">
      <w:rPr>
        <w:rFonts w:ascii="Times New Roman" w:eastAsia="Times New Roman" w:hAnsi="Times New Roman" w:cs="Times New Roman"/>
        <w:sz w:val="24"/>
        <w:szCs w:val="24"/>
        <w:lang w:eastAsia="lv-LV"/>
      </w:rPr>
      <w:t>21_</w:t>
    </w:r>
    <w:r>
      <w:rPr>
        <w:rFonts w:ascii="Times New Roman" w:eastAsia="Times New Roman" w:hAnsi="Times New Roman" w:cs="Times New Roman"/>
        <w:sz w:val="24"/>
        <w:szCs w:val="24"/>
        <w:lang w:eastAsia="lv-LV"/>
      </w:rPr>
      <w:t>1037</w:t>
    </w:r>
  </w:p>
  <w:p w14:paraId="3B85C44C" w14:textId="0482FE18" w:rsidR="009D7D59" w:rsidRPr="00E72C30" w:rsidRDefault="009D7D59" w:rsidP="00E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8520" w14:textId="5EA73A85" w:rsidR="009D7D59" w:rsidRPr="00696D8C" w:rsidRDefault="00696D8C" w:rsidP="00696D8C">
    <w:pPr>
      <w:pStyle w:val="Footer"/>
    </w:pPr>
    <w:r w:rsidRPr="00696D8C">
      <w:rPr>
        <w:rFonts w:ascii="Times New Roman" w:eastAsia="Times New Roman" w:hAnsi="Times New Roman" w:cs="Times New Roman"/>
        <w:sz w:val="24"/>
        <w:szCs w:val="24"/>
        <w:lang w:eastAsia="lv-LV"/>
      </w:rPr>
      <w:t>VManot_</w:t>
    </w:r>
    <w:r w:rsidR="00CE0C19">
      <w:rPr>
        <w:rFonts w:ascii="Times New Roman" w:eastAsia="Times New Roman" w:hAnsi="Times New Roman" w:cs="Times New Roman"/>
        <w:sz w:val="24"/>
        <w:szCs w:val="24"/>
        <w:lang w:eastAsia="lv-LV"/>
      </w:rPr>
      <w:t>030</w:t>
    </w:r>
    <w:r w:rsidR="00CB6810">
      <w:rPr>
        <w:rFonts w:ascii="Times New Roman" w:eastAsia="Times New Roman" w:hAnsi="Times New Roman" w:cs="Times New Roman"/>
        <w:sz w:val="24"/>
        <w:szCs w:val="24"/>
        <w:lang w:eastAsia="lv-LV"/>
      </w:rPr>
      <w:t>9</w:t>
    </w:r>
    <w:r w:rsidRPr="00696D8C">
      <w:rPr>
        <w:rFonts w:ascii="Times New Roman" w:eastAsia="Times New Roman" w:hAnsi="Times New Roman" w:cs="Times New Roman"/>
        <w:sz w:val="24"/>
        <w:szCs w:val="24"/>
        <w:lang w:eastAsia="lv-LV"/>
      </w:rPr>
      <w:t>21_</w:t>
    </w:r>
    <w:r w:rsidR="00E72C30">
      <w:rPr>
        <w:rFonts w:ascii="Times New Roman" w:eastAsia="Times New Roman" w:hAnsi="Times New Roman" w:cs="Times New Roman"/>
        <w:sz w:val="24"/>
        <w:szCs w:val="24"/>
        <w:lang w:eastAsia="lv-LV"/>
      </w:rPr>
      <w:t>1037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6494" w14:textId="77777777" w:rsidR="003C5605" w:rsidRDefault="003C5605" w:rsidP="0007278B">
      <w:pPr>
        <w:spacing w:after="0" w:line="240" w:lineRule="auto"/>
      </w:pPr>
      <w:r>
        <w:separator/>
      </w:r>
    </w:p>
  </w:footnote>
  <w:footnote w:type="continuationSeparator" w:id="0">
    <w:p w14:paraId="540D1A00" w14:textId="77777777" w:rsidR="003C5605" w:rsidRDefault="003C5605" w:rsidP="0007278B">
      <w:pPr>
        <w:spacing w:after="0" w:line="240" w:lineRule="auto"/>
      </w:pPr>
      <w:r>
        <w:continuationSeparator/>
      </w:r>
    </w:p>
  </w:footnote>
  <w:footnote w:type="continuationNotice" w:id="1">
    <w:p w14:paraId="6AF60155" w14:textId="77777777" w:rsidR="003C5605" w:rsidRDefault="003C56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230928"/>
      <w:docPartObj>
        <w:docPartGallery w:val="Page Numbers (Top of Page)"/>
        <w:docPartUnique/>
      </w:docPartObj>
    </w:sdtPr>
    <w:sdtEndPr>
      <w:rPr>
        <w:rFonts w:ascii="Times New Roman" w:hAnsi="Times New Roman" w:cs="Times New Roman"/>
        <w:sz w:val="24"/>
        <w:szCs w:val="24"/>
      </w:rPr>
    </w:sdtEndPr>
    <w:sdtContent>
      <w:p w14:paraId="5FAE7ACA" w14:textId="4DF58908" w:rsidR="009D7D59" w:rsidRPr="004D15A9" w:rsidRDefault="009D7D59">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402850">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14:paraId="43A980F5" w14:textId="77777777" w:rsidR="009D7D59" w:rsidRDefault="009D7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4FFC"/>
    <w:multiLevelType w:val="hybridMultilevel"/>
    <w:tmpl w:val="82BA87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1619FC"/>
    <w:multiLevelType w:val="hybridMultilevel"/>
    <w:tmpl w:val="388EFA4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8D0554E"/>
    <w:multiLevelType w:val="hybridMultilevel"/>
    <w:tmpl w:val="E0001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9D69C7"/>
    <w:multiLevelType w:val="hybridMultilevel"/>
    <w:tmpl w:val="CA720406"/>
    <w:lvl w:ilvl="0" w:tplc="4D30B838">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126B4506"/>
    <w:multiLevelType w:val="hybridMultilevel"/>
    <w:tmpl w:val="E306FAD2"/>
    <w:lvl w:ilvl="0" w:tplc="A4642050">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EA138AD"/>
    <w:multiLevelType w:val="hybridMultilevel"/>
    <w:tmpl w:val="849E08F6"/>
    <w:lvl w:ilvl="0" w:tplc="00C6007A">
      <w:start w:val="1"/>
      <w:numFmt w:val="decimal"/>
      <w:lvlText w:val="%1)"/>
      <w:lvlJc w:val="left"/>
      <w:pPr>
        <w:ind w:left="720" w:hanging="360"/>
      </w:pPr>
      <w:rPr>
        <w:rFonts w:asciiTheme="minorHAnsi" w:eastAsiaTheme="minorHAnsi" w:hAnsiTheme="minorHAnsi" w:cstheme="minorBidi" w:hint="default"/>
        <w:b w:val="0"/>
        <w:i w:val="0"/>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C20450"/>
    <w:multiLevelType w:val="hybridMultilevel"/>
    <w:tmpl w:val="3F809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882F63"/>
    <w:multiLevelType w:val="hybridMultilevel"/>
    <w:tmpl w:val="511E79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2E92BD6"/>
    <w:multiLevelType w:val="hybridMultilevel"/>
    <w:tmpl w:val="CD7ED626"/>
    <w:lvl w:ilvl="0" w:tplc="FFFFFFFF">
      <w:start w:val="1"/>
      <w:numFmt w:val="decimal"/>
      <w:lvlText w:val="1.%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205F86"/>
    <w:multiLevelType w:val="hybridMultilevel"/>
    <w:tmpl w:val="6BDC5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BE7310"/>
    <w:multiLevelType w:val="hybridMultilevel"/>
    <w:tmpl w:val="01EAD398"/>
    <w:lvl w:ilvl="0" w:tplc="87B83044">
      <w:start w:val="1"/>
      <w:numFmt w:val="decimal"/>
      <w:lvlText w:val="%1)"/>
      <w:lvlJc w:val="left"/>
      <w:pPr>
        <w:ind w:left="1047" w:hanging="360"/>
      </w:pPr>
      <w:rPr>
        <w:rFonts w:hint="default"/>
      </w:rPr>
    </w:lvl>
    <w:lvl w:ilvl="1" w:tplc="04260019" w:tentative="1">
      <w:start w:val="1"/>
      <w:numFmt w:val="lowerLetter"/>
      <w:lvlText w:val="%2."/>
      <w:lvlJc w:val="left"/>
      <w:pPr>
        <w:ind w:left="1767" w:hanging="360"/>
      </w:pPr>
    </w:lvl>
    <w:lvl w:ilvl="2" w:tplc="0426001B" w:tentative="1">
      <w:start w:val="1"/>
      <w:numFmt w:val="lowerRoman"/>
      <w:lvlText w:val="%3."/>
      <w:lvlJc w:val="right"/>
      <w:pPr>
        <w:ind w:left="2487" w:hanging="180"/>
      </w:pPr>
    </w:lvl>
    <w:lvl w:ilvl="3" w:tplc="0426000F" w:tentative="1">
      <w:start w:val="1"/>
      <w:numFmt w:val="decimal"/>
      <w:lvlText w:val="%4."/>
      <w:lvlJc w:val="left"/>
      <w:pPr>
        <w:ind w:left="3207" w:hanging="360"/>
      </w:pPr>
    </w:lvl>
    <w:lvl w:ilvl="4" w:tplc="04260019" w:tentative="1">
      <w:start w:val="1"/>
      <w:numFmt w:val="lowerLetter"/>
      <w:lvlText w:val="%5."/>
      <w:lvlJc w:val="left"/>
      <w:pPr>
        <w:ind w:left="3927" w:hanging="360"/>
      </w:pPr>
    </w:lvl>
    <w:lvl w:ilvl="5" w:tplc="0426001B" w:tentative="1">
      <w:start w:val="1"/>
      <w:numFmt w:val="lowerRoman"/>
      <w:lvlText w:val="%6."/>
      <w:lvlJc w:val="right"/>
      <w:pPr>
        <w:ind w:left="4647" w:hanging="180"/>
      </w:pPr>
    </w:lvl>
    <w:lvl w:ilvl="6" w:tplc="0426000F" w:tentative="1">
      <w:start w:val="1"/>
      <w:numFmt w:val="decimal"/>
      <w:lvlText w:val="%7."/>
      <w:lvlJc w:val="left"/>
      <w:pPr>
        <w:ind w:left="5367" w:hanging="360"/>
      </w:pPr>
    </w:lvl>
    <w:lvl w:ilvl="7" w:tplc="04260019" w:tentative="1">
      <w:start w:val="1"/>
      <w:numFmt w:val="lowerLetter"/>
      <w:lvlText w:val="%8."/>
      <w:lvlJc w:val="left"/>
      <w:pPr>
        <w:ind w:left="6087" w:hanging="360"/>
      </w:pPr>
    </w:lvl>
    <w:lvl w:ilvl="8" w:tplc="0426001B" w:tentative="1">
      <w:start w:val="1"/>
      <w:numFmt w:val="lowerRoman"/>
      <w:lvlText w:val="%9."/>
      <w:lvlJc w:val="right"/>
      <w:pPr>
        <w:ind w:left="6807" w:hanging="180"/>
      </w:pPr>
    </w:lvl>
  </w:abstractNum>
  <w:abstractNum w:abstractNumId="11" w15:restartNumberingAfterBreak="0">
    <w:nsid w:val="6B1844E2"/>
    <w:multiLevelType w:val="multilevel"/>
    <w:tmpl w:val="981E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040591"/>
    <w:multiLevelType w:val="hybridMultilevel"/>
    <w:tmpl w:val="FDC06A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11"/>
  </w:num>
  <w:num w:numId="5">
    <w:abstractNumId w:val="12"/>
  </w:num>
  <w:num w:numId="6">
    <w:abstractNumId w:val="9"/>
  </w:num>
  <w:num w:numId="7">
    <w:abstractNumId w:val="4"/>
  </w:num>
  <w:num w:numId="8">
    <w:abstractNumId w:val="6"/>
  </w:num>
  <w:num w:numId="9">
    <w:abstractNumId w:val="3"/>
  </w:num>
  <w:num w:numId="10">
    <w:abstractNumId w:val="7"/>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zsbQwtTQztDA0N7NQ0lEKTi0uzszPAykwrAUALihUPiwAAAA="/>
  </w:docVars>
  <w:rsids>
    <w:rsidRoot w:val="0007278B"/>
    <w:rsid w:val="00011BF3"/>
    <w:rsid w:val="00012409"/>
    <w:rsid w:val="00012C86"/>
    <w:rsid w:val="00015E8A"/>
    <w:rsid w:val="00016372"/>
    <w:rsid w:val="00023AD6"/>
    <w:rsid w:val="0002409F"/>
    <w:rsid w:val="000254EB"/>
    <w:rsid w:val="000272E5"/>
    <w:rsid w:val="000301FC"/>
    <w:rsid w:val="00031D93"/>
    <w:rsid w:val="00032EF2"/>
    <w:rsid w:val="00057EB1"/>
    <w:rsid w:val="00066E5F"/>
    <w:rsid w:val="0007278B"/>
    <w:rsid w:val="00075D37"/>
    <w:rsid w:val="000855BE"/>
    <w:rsid w:val="00085A5A"/>
    <w:rsid w:val="00087A23"/>
    <w:rsid w:val="00092597"/>
    <w:rsid w:val="00095861"/>
    <w:rsid w:val="000976F2"/>
    <w:rsid w:val="000A1151"/>
    <w:rsid w:val="000A4D59"/>
    <w:rsid w:val="000B3B62"/>
    <w:rsid w:val="000B47C4"/>
    <w:rsid w:val="000C490C"/>
    <w:rsid w:val="000C6AFA"/>
    <w:rsid w:val="000C7D0F"/>
    <w:rsid w:val="000D2248"/>
    <w:rsid w:val="000D5547"/>
    <w:rsid w:val="000E0284"/>
    <w:rsid w:val="000E2322"/>
    <w:rsid w:val="000E3F6E"/>
    <w:rsid w:val="000E727B"/>
    <w:rsid w:val="000F6AE3"/>
    <w:rsid w:val="00105AAC"/>
    <w:rsid w:val="00111363"/>
    <w:rsid w:val="00114943"/>
    <w:rsid w:val="00116C28"/>
    <w:rsid w:val="0012116A"/>
    <w:rsid w:val="00122038"/>
    <w:rsid w:val="00126D2A"/>
    <w:rsid w:val="0013301B"/>
    <w:rsid w:val="001336B4"/>
    <w:rsid w:val="00137903"/>
    <w:rsid w:val="00140A51"/>
    <w:rsid w:val="00141D8E"/>
    <w:rsid w:val="00144998"/>
    <w:rsid w:val="00154080"/>
    <w:rsid w:val="00156BB8"/>
    <w:rsid w:val="001571CA"/>
    <w:rsid w:val="00157BFC"/>
    <w:rsid w:val="00160626"/>
    <w:rsid w:val="00162412"/>
    <w:rsid w:val="00177F97"/>
    <w:rsid w:val="0018564F"/>
    <w:rsid w:val="001A05AA"/>
    <w:rsid w:val="001A4CC0"/>
    <w:rsid w:val="001A5304"/>
    <w:rsid w:val="001B05E3"/>
    <w:rsid w:val="001B66B2"/>
    <w:rsid w:val="001C088F"/>
    <w:rsid w:val="001C1B61"/>
    <w:rsid w:val="001C300A"/>
    <w:rsid w:val="001C6B51"/>
    <w:rsid w:val="001D713B"/>
    <w:rsid w:val="001D75D0"/>
    <w:rsid w:val="001E1D31"/>
    <w:rsid w:val="001F3A4A"/>
    <w:rsid w:val="001F425F"/>
    <w:rsid w:val="001F7E87"/>
    <w:rsid w:val="00242A4C"/>
    <w:rsid w:val="002519EE"/>
    <w:rsid w:val="00252768"/>
    <w:rsid w:val="00263B22"/>
    <w:rsid w:val="00267203"/>
    <w:rsid w:val="00272F7D"/>
    <w:rsid w:val="00276A81"/>
    <w:rsid w:val="00280A6B"/>
    <w:rsid w:val="0029585A"/>
    <w:rsid w:val="002961D8"/>
    <w:rsid w:val="00297A0B"/>
    <w:rsid w:val="002A30A2"/>
    <w:rsid w:val="002A5E19"/>
    <w:rsid w:val="002B14B8"/>
    <w:rsid w:val="002C3B6A"/>
    <w:rsid w:val="002C3CF3"/>
    <w:rsid w:val="002C5AC6"/>
    <w:rsid w:val="002C7628"/>
    <w:rsid w:val="002D5487"/>
    <w:rsid w:val="002E027E"/>
    <w:rsid w:val="002E02AA"/>
    <w:rsid w:val="002E0487"/>
    <w:rsid w:val="002E1AE9"/>
    <w:rsid w:val="002F15FE"/>
    <w:rsid w:val="002F181A"/>
    <w:rsid w:val="002F4B93"/>
    <w:rsid w:val="0030433B"/>
    <w:rsid w:val="003117FB"/>
    <w:rsid w:val="00316074"/>
    <w:rsid w:val="00317FDB"/>
    <w:rsid w:val="00333F6A"/>
    <w:rsid w:val="003354AF"/>
    <w:rsid w:val="00337697"/>
    <w:rsid w:val="00340B6C"/>
    <w:rsid w:val="00341BAD"/>
    <w:rsid w:val="00342047"/>
    <w:rsid w:val="00342DB9"/>
    <w:rsid w:val="0034366D"/>
    <w:rsid w:val="00345AAA"/>
    <w:rsid w:val="003464D8"/>
    <w:rsid w:val="0035001B"/>
    <w:rsid w:val="00351B51"/>
    <w:rsid w:val="003545AB"/>
    <w:rsid w:val="00364857"/>
    <w:rsid w:val="00371C88"/>
    <w:rsid w:val="00371F18"/>
    <w:rsid w:val="00373448"/>
    <w:rsid w:val="00390B4E"/>
    <w:rsid w:val="003A0E17"/>
    <w:rsid w:val="003A29E2"/>
    <w:rsid w:val="003A376A"/>
    <w:rsid w:val="003A3C5A"/>
    <w:rsid w:val="003A42C4"/>
    <w:rsid w:val="003A5C4E"/>
    <w:rsid w:val="003B4887"/>
    <w:rsid w:val="003C1921"/>
    <w:rsid w:val="003C4D6D"/>
    <w:rsid w:val="003C5605"/>
    <w:rsid w:val="003D1230"/>
    <w:rsid w:val="003D15E2"/>
    <w:rsid w:val="003D6375"/>
    <w:rsid w:val="003E5303"/>
    <w:rsid w:val="00402850"/>
    <w:rsid w:val="004059A2"/>
    <w:rsid w:val="0041142C"/>
    <w:rsid w:val="00412439"/>
    <w:rsid w:val="004231CC"/>
    <w:rsid w:val="00425035"/>
    <w:rsid w:val="00425B3A"/>
    <w:rsid w:val="00426EE3"/>
    <w:rsid w:val="00431BC2"/>
    <w:rsid w:val="0045145B"/>
    <w:rsid w:val="00454E76"/>
    <w:rsid w:val="00456B73"/>
    <w:rsid w:val="00473581"/>
    <w:rsid w:val="00480999"/>
    <w:rsid w:val="00483A03"/>
    <w:rsid w:val="00487206"/>
    <w:rsid w:val="0049311E"/>
    <w:rsid w:val="00493362"/>
    <w:rsid w:val="00497DBB"/>
    <w:rsid w:val="004A2382"/>
    <w:rsid w:val="004A3552"/>
    <w:rsid w:val="004A5598"/>
    <w:rsid w:val="004C4877"/>
    <w:rsid w:val="004D5BFE"/>
    <w:rsid w:val="004E0D0E"/>
    <w:rsid w:val="004E2D9C"/>
    <w:rsid w:val="004F4AAB"/>
    <w:rsid w:val="004F738C"/>
    <w:rsid w:val="004F7F24"/>
    <w:rsid w:val="00502DFD"/>
    <w:rsid w:val="00503A65"/>
    <w:rsid w:val="00504320"/>
    <w:rsid w:val="005152B1"/>
    <w:rsid w:val="0053215F"/>
    <w:rsid w:val="00534268"/>
    <w:rsid w:val="00535888"/>
    <w:rsid w:val="0055413D"/>
    <w:rsid w:val="005735D4"/>
    <w:rsid w:val="005758FB"/>
    <w:rsid w:val="005764B7"/>
    <w:rsid w:val="0059150F"/>
    <w:rsid w:val="00593BC7"/>
    <w:rsid w:val="00594330"/>
    <w:rsid w:val="0059599E"/>
    <w:rsid w:val="005A1ABA"/>
    <w:rsid w:val="005B3B62"/>
    <w:rsid w:val="005C3B9D"/>
    <w:rsid w:val="005C5DC6"/>
    <w:rsid w:val="005E1930"/>
    <w:rsid w:val="005E7398"/>
    <w:rsid w:val="005E7C04"/>
    <w:rsid w:val="005F2E79"/>
    <w:rsid w:val="005F3C49"/>
    <w:rsid w:val="0060363C"/>
    <w:rsid w:val="00603BD7"/>
    <w:rsid w:val="00604451"/>
    <w:rsid w:val="0060585D"/>
    <w:rsid w:val="00616EB6"/>
    <w:rsid w:val="00620304"/>
    <w:rsid w:val="0062651F"/>
    <w:rsid w:val="00626C1E"/>
    <w:rsid w:val="00636B7E"/>
    <w:rsid w:val="00641AF8"/>
    <w:rsid w:val="00652F39"/>
    <w:rsid w:val="00664759"/>
    <w:rsid w:val="0067096C"/>
    <w:rsid w:val="00675455"/>
    <w:rsid w:val="006803FE"/>
    <w:rsid w:val="0068081B"/>
    <w:rsid w:val="00681D29"/>
    <w:rsid w:val="00685C9E"/>
    <w:rsid w:val="00696D8C"/>
    <w:rsid w:val="00696E1B"/>
    <w:rsid w:val="006A3466"/>
    <w:rsid w:val="006A3F81"/>
    <w:rsid w:val="006A5389"/>
    <w:rsid w:val="006B32D8"/>
    <w:rsid w:val="006B681F"/>
    <w:rsid w:val="006B6C12"/>
    <w:rsid w:val="006B7255"/>
    <w:rsid w:val="006B7D2B"/>
    <w:rsid w:val="006C0423"/>
    <w:rsid w:val="006C5703"/>
    <w:rsid w:val="006D22E5"/>
    <w:rsid w:val="006D6DB7"/>
    <w:rsid w:val="00705EC8"/>
    <w:rsid w:val="0071090F"/>
    <w:rsid w:val="007223FE"/>
    <w:rsid w:val="00724197"/>
    <w:rsid w:val="00727E9F"/>
    <w:rsid w:val="00731409"/>
    <w:rsid w:val="00742B05"/>
    <w:rsid w:val="00742C84"/>
    <w:rsid w:val="00746CE6"/>
    <w:rsid w:val="0075152B"/>
    <w:rsid w:val="007518AA"/>
    <w:rsid w:val="00757D9F"/>
    <w:rsid w:val="007926D8"/>
    <w:rsid w:val="007948C3"/>
    <w:rsid w:val="0079688F"/>
    <w:rsid w:val="007A71FC"/>
    <w:rsid w:val="007B0528"/>
    <w:rsid w:val="007C3F73"/>
    <w:rsid w:val="007C74EF"/>
    <w:rsid w:val="007D7575"/>
    <w:rsid w:val="007E4536"/>
    <w:rsid w:val="00802A02"/>
    <w:rsid w:val="00805BE3"/>
    <w:rsid w:val="008069BD"/>
    <w:rsid w:val="0081260C"/>
    <w:rsid w:val="00812A8C"/>
    <w:rsid w:val="008314E5"/>
    <w:rsid w:val="00863944"/>
    <w:rsid w:val="008670E6"/>
    <w:rsid w:val="00867A7B"/>
    <w:rsid w:val="008723FA"/>
    <w:rsid w:val="00882A36"/>
    <w:rsid w:val="00882DBA"/>
    <w:rsid w:val="00886D79"/>
    <w:rsid w:val="008A2D6D"/>
    <w:rsid w:val="008A49BF"/>
    <w:rsid w:val="008B1BB5"/>
    <w:rsid w:val="008B3101"/>
    <w:rsid w:val="008B3BDF"/>
    <w:rsid w:val="008C242E"/>
    <w:rsid w:val="008C46AB"/>
    <w:rsid w:val="008C5F53"/>
    <w:rsid w:val="008C7FF7"/>
    <w:rsid w:val="008E15C0"/>
    <w:rsid w:val="008F4869"/>
    <w:rsid w:val="009031F5"/>
    <w:rsid w:val="00911954"/>
    <w:rsid w:val="00914064"/>
    <w:rsid w:val="00921A56"/>
    <w:rsid w:val="00922F28"/>
    <w:rsid w:val="00936E60"/>
    <w:rsid w:val="00946B3B"/>
    <w:rsid w:val="00950838"/>
    <w:rsid w:val="009517EE"/>
    <w:rsid w:val="009556FB"/>
    <w:rsid w:val="00955A5B"/>
    <w:rsid w:val="009763A8"/>
    <w:rsid w:val="009771E5"/>
    <w:rsid w:val="00977FBF"/>
    <w:rsid w:val="0099298E"/>
    <w:rsid w:val="0099398F"/>
    <w:rsid w:val="00995645"/>
    <w:rsid w:val="00995846"/>
    <w:rsid w:val="009A3982"/>
    <w:rsid w:val="009A412D"/>
    <w:rsid w:val="009A5645"/>
    <w:rsid w:val="009B370A"/>
    <w:rsid w:val="009B3BE8"/>
    <w:rsid w:val="009B3CEC"/>
    <w:rsid w:val="009B775D"/>
    <w:rsid w:val="009C1A83"/>
    <w:rsid w:val="009C59BA"/>
    <w:rsid w:val="009D3273"/>
    <w:rsid w:val="009D4395"/>
    <w:rsid w:val="009D7D59"/>
    <w:rsid w:val="009E139D"/>
    <w:rsid w:val="009E1D54"/>
    <w:rsid w:val="009E5C6B"/>
    <w:rsid w:val="009E60C7"/>
    <w:rsid w:val="009F7B1B"/>
    <w:rsid w:val="00A00598"/>
    <w:rsid w:val="00A03EFD"/>
    <w:rsid w:val="00A12210"/>
    <w:rsid w:val="00A1243C"/>
    <w:rsid w:val="00A1381F"/>
    <w:rsid w:val="00A16FD6"/>
    <w:rsid w:val="00A17EEC"/>
    <w:rsid w:val="00A235BA"/>
    <w:rsid w:val="00A2706E"/>
    <w:rsid w:val="00A36D97"/>
    <w:rsid w:val="00A40AFD"/>
    <w:rsid w:val="00A504C8"/>
    <w:rsid w:val="00A52342"/>
    <w:rsid w:val="00A53396"/>
    <w:rsid w:val="00A63523"/>
    <w:rsid w:val="00A751EC"/>
    <w:rsid w:val="00A764CA"/>
    <w:rsid w:val="00A7687B"/>
    <w:rsid w:val="00AA0090"/>
    <w:rsid w:val="00AA6D8E"/>
    <w:rsid w:val="00AB0F8D"/>
    <w:rsid w:val="00AC31B5"/>
    <w:rsid w:val="00AC3E32"/>
    <w:rsid w:val="00AC59D5"/>
    <w:rsid w:val="00AD18E0"/>
    <w:rsid w:val="00AD1C41"/>
    <w:rsid w:val="00AD7072"/>
    <w:rsid w:val="00AE017E"/>
    <w:rsid w:val="00AE31DA"/>
    <w:rsid w:val="00AE4EFC"/>
    <w:rsid w:val="00AF30FC"/>
    <w:rsid w:val="00B07CE3"/>
    <w:rsid w:val="00B13C9E"/>
    <w:rsid w:val="00B13D9E"/>
    <w:rsid w:val="00B20E84"/>
    <w:rsid w:val="00B23552"/>
    <w:rsid w:val="00B236F0"/>
    <w:rsid w:val="00B24624"/>
    <w:rsid w:val="00B27D79"/>
    <w:rsid w:val="00B32161"/>
    <w:rsid w:val="00B33F20"/>
    <w:rsid w:val="00B3576F"/>
    <w:rsid w:val="00B35F66"/>
    <w:rsid w:val="00B37EFB"/>
    <w:rsid w:val="00B53339"/>
    <w:rsid w:val="00B53A07"/>
    <w:rsid w:val="00B54E70"/>
    <w:rsid w:val="00B608AE"/>
    <w:rsid w:val="00B7759C"/>
    <w:rsid w:val="00B80753"/>
    <w:rsid w:val="00B86F86"/>
    <w:rsid w:val="00BB103E"/>
    <w:rsid w:val="00BB2713"/>
    <w:rsid w:val="00BC4A6D"/>
    <w:rsid w:val="00BC7AB1"/>
    <w:rsid w:val="00BC7E1B"/>
    <w:rsid w:val="00BD50E2"/>
    <w:rsid w:val="00BE7F52"/>
    <w:rsid w:val="00BF0DE0"/>
    <w:rsid w:val="00BF6AD1"/>
    <w:rsid w:val="00BF71E8"/>
    <w:rsid w:val="00C02689"/>
    <w:rsid w:val="00C04FF8"/>
    <w:rsid w:val="00C135AA"/>
    <w:rsid w:val="00C2181D"/>
    <w:rsid w:val="00C33657"/>
    <w:rsid w:val="00C34539"/>
    <w:rsid w:val="00C40082"/>
    <w:rsid w:val="00C401DF"/>
    <w:rsid w:val="00C40695"/>
    <w:rsid w:val="00C4404F"/>
    <w:rsid w:val="00C44496"/>
    <w:rsid w:val="00C47F2A"/>
    <w:rsid w:val="00C61CB2"/>
    <w:rsid w:val="00C704F2"/>
    <w:rsid w:val="00C71CC7"/>
    <w:rsid w:val="00C74659"/>
    <w:rsid w:val="00C800E2"/>
    <w:rsid w:val="00C80A89"/>
    <w:rsid w:val="00C82897"/>
    <w:rsid w:val="00C901A8"/>
    <w:rsid w:val="00C94620"/>
    <w:rsid w:val="00CA6A47"/>
    <w:rsid w:val="00CB1936"/>
    <w:rsid w:val="00CB60A4"/>
    <w:rsid w:val="00CB6810"/>
    <w:rsid w:val="00CC0EA9"/>
    <w:rsid w:val="00CC0F52"/>
    <w:rsid w:val="00CD26BC"/>
    <w:rsid w:val="00CE0C19"/>
    <w:rsid w:val="00CE166E"/>
    <w:rsid w:val="00CE4139"/>
    <w:rsid w:val="00CF3D8A"/>
    <w:rsid w:val="00CF6903"/>
    <w:rsid w:val="00D0462F"/>
    <w:rsid w:val="00D163D5"/>
    <w:rsid w:val="00D20561"/>
    <w:rsid w:val="00D32189"/>
    <w:rsid w:val="00D322A9"/>
    <w:rsid w:val="00D43B94"/>
    <w:rsid w:val="00D62EC3"/>
    <w:rsid w:val="00D70DC5"/>
    <w:rsid w:val="00D7162E"/>
    <w:rsid w:val="00D72509"/>
    <w:rsid w:val="00D729DF"/>
    <w:rsid w:val="00D74883"/>
    <w:rsid w:val="00D77367"/>
    <w:rsid w:val="00D827CA"/>
    <w:rsid w:val="00D856F7"/>
    <w:rsid w:val="00D94EEE"/>
    <w:rsid w:val="00D974CA"/>
    <w:rsid w:val="00DA2666"/>
    <w:rsid w:val="00DB015B"/>
    <w:rsid w:val="00DB63FD"/>
    <w:rsid w:val="00DC406A"/>
    <w:rsid w:val="00DD20E5"/>
    <w:rsid w:val="00DD556F"/>
    <w:rsid w:val="00DD7352"/>
    <w:rsid w:val="00DE1419"/>
    <w:rsid w:val="00DF75A0"/>
    <w:rsid w:val="00DF760B"/>
    <w:rsid w:val="00E021CF"/>
    <w:rsid w:val="00E06788"/>
    <w:rsid w:val="00E132DA"/>
    <w:rsid w:val="00E1494D"/>
    <w:rsid w:val="00E26E37"/>
    <w:rsid w:val="00E31366"/>
    <w:rsid w:val="00E37B29"/>
    <w:rsid w:val="00E402A6"/>
    <w:rsid w:val="00E4172B"/>
    <w:rsid w:val="00E4195C"/>
    <w:rsid w:val="00E41AB7"/>
    <w:rsid w:val="00E422C4"/>
    <w:rsid w:val="00E5298D"/>
    <w:rsid w:val="00E578A8"/>
    <w:rsid w:val="00E57C60"/>
    <w:rsid w:val="00E61EAE"/>
    <w:rsid w:val="00E6284D"/>
    <w:rsid w:val="00E67090"/>
    <w:rsid w:val="00E70E37"/>
    <w:rsid w:val="00E7205F"/>
    <w:rsid w:val="00E72A4E"/>
    <w:rsid w:val="00E72C30"/>
    <w:rsid w:val="00E804E9"/>
    <w:rsid w:val="00E93BD2"/>
    <w:rsid w:val="00E94387"/>
    <w:rsid w:val="00EB18C7"/>
    <w:rsid w:val="00EC33C6"/>
    <w:rsid w:val="00EC4FFC"/>
    <w:rsid w:val="00EC7B41"/>
    <w:rsid w:val="00EE3EFE"/>
    <w:rsid w:val="00EF5D0E"/>
    <w:rsid w:val="00EF6116"/>
    <w:rsid w:val="00EF7EA3"/>
    <w:rsid w:val="00F046BC"/>
    <w:rsid w:val="00F0629B"/>
    <w:rsid w:val="00F10231"/>
    <w:rsid w:val="00F15DCD"/>
    <w:rsid w:val="00F200EA"/>
    <w:rsid w:val="00F23674"/>
    <w:rsid w:val="00F26541"/>
    <w:rsid w:val="00F30098"/>
    <w:rsid w:val="00F3232E"/>
    <w:rsid w:val="00F34931"/>
    <w:rsid w:val="00F43A33"/>
    <w:rsid w:val="00F45121"/>
    <w:rsid w:val="00F55E92"/>
    <w:rsid w:val="00F64DDA"/>
    <w:rsid w:val="00F65FB1"/>
    <w:rsid w:val="00F66CA2"/>
    <w:rsid w:val="00F67E68"/>
    <w:rsid w:val="00F71269"/>
    <w:rsid w:val="00F74BAD"/>
    <w:rsid w:val="00F803D1"/>
    <w:rsid w:val="00F8151E"/>
    <w:rsid w:val="00F9262A"/>
    <w:rsid w:val="00FA153F"/>
    <w:rsid w:val="00FC47B2"/>
    <w:rsid w:val="00FC6DC3"/>
    <w:rsid w:val="00FD3B42"/>
    <w:rsid w:val="00FE7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3159"/>
  <w15:chartTrackingRefBased/>
  <w15:docId w15:val="{E1662DC9-7D59-4F3E-8067-C740A486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7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7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278B"/>
  </w:style>
  <w:style w:type="paragraph" w:styleId="Footer">
    <w:name w:val="footer"/>
    <w:basedOn w:val="Normal"/>
    <w:link w:val="FooterChar"/>
    <w:uiPriority w:val="99"/>
    <w:unhideWhenUsed/>
    <w:rsid w:val="000727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278B"/>
  </w:style>
  <w:style w:type="character" w:styleId="Hyperlink">
    <w:name w:val="Hyperlink"/>
    <w:uiPriority w:val="99"/>
    <w:rsid w:val="0007278B"/>
    <w:rPr>
      <w:color w:val="0000FF"/>
      <w:u w:val="single"/>
    </w:rPr>
  </w:style>
  <w:style w:type="paragraph" w:customStyle="1" w:styleId="naisf">
    <w:name w:val="naisf"/>
    <w:basedOn w:val="Normal"/>
    <w:rsid w:val="0007278B"/>
    <w:pPr>
      <w:spacing w:before="100" w:beforeAutospacing="1" w:after="100" w:afterAutospacing="1" w:line="240" w:lineRule="auto"/>
    </w:pPr>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CB1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936"/>
    <w:rPr>
      <w:rFonts w:ascii="Segoe UI" w:hAnsi="Segoe UI" w:cs="Segoe UI"/>
      <w:sz w:val="18"/>
      <w:szCs w:val="18"/>
    </w:rPr>
  </w:style>
  <w:style w:type="paragraph" w:styleId="NormalWeb">
    <w:name w:val="Normal (Web)"/>
    <w:basedOn w:val="Normal"/>
    <w:uiPriority w:val="99"/>
    <w:unhideWhenUsed/>
    <w:rsid w:val="002E027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E027E"/>
    <w:rPr>
      <w:sz w:val="16"/>
      <w:szCs w:val="16"/>
    </w:rPr>
  </w:style>
  <w:style w:type="paragraph" w:styleId="CommentText">
    <w:name w:val="annotation text"/>
    <w:basedOn w:val="Normal"/>
    <w:link w:val="CommentTextChar"/>
    <w:uiPriority w:val="99"/>
    <w:semiHidden/>
    <w:unhideWhenUsed/>
    <w:rsid w:val="002E027E"/>
    <w:pPr>
      <w:spacing w:line="240" w:lineRule="auto"/>
    </w:pPr>
    <w:rPr>
      <w:sz w:val="20"/>
      <w:szCs w:val="20"/>
    </w:rPr>
  </w:style>
  <w:style w:type="character" w:customStyle="1" w:styleId="CommentTextChar">
    <w:name w:val="Comment Text Char"/>
    <w:basedOn w:val="DefaultParagraphFont"/>
    <w:link w:val="CommentText"/>
    <w:uiPriority w:val="99"/>
    <w:semiHidden/>
    <w:rsid w:val="002E027E"/>
    <w:rPr>
      <w:sz w:val="20"/>
      <w:szCs w:val="20"/>
    </w:rPr>
  </w:style>
  <w:style w:type="paragraph" w:styleId="CommentSubject">
    <w:name w:val="annotation subject"/>
    <w:basedOn w:val="CommentText"/>
    <w:next w:val="CommentText"/>
    <w:link w:val="CommentSubjectChar"/>
    <w:uiPriority w:val="99"/>
    <w:semiHidden/>
    <w:unhideWhenUsed/>
    <w:rsid w:val="002E027E"/>
    <w:rPr>
      <w:b/>
      <w:bCs/>
    </w:rPr>
  </w:style>
  <w:style w:type="character" w:customStyle="1" w:styleId="CommentSubjectChar">
    <w:name w:val="Comment Subject Char"/>
    <w:basedOn w:val="CommentTextChar"/>
    <w:link w:val="CommentSubject"/>
    <w:uiPriority w:val="99"/>
    <w:semiHidden/>
    <w:rsid w:val="002E027E"/>
    <w:rPr>
      <w:b/>
      <w:bCs/>
      <w:sz w:val="20"/>
      <w:szCs w:val="20"/>
    </w:rPr>
  </w:style>
  <w:style w:type="paragraph" w:styleId="ListParagraph">
    <w:name w:val="List Paragraph"/>
    <w:basedOn w:val="Normal"/>
    <w:uiPriority w:val="34"/>
    <w:qFormat/>
    <w:rsid w:val="00297A0B"/>
    <w:pPr>
      <w:ind w:left="720"/>
      <w:contextualSpacing/>
    </w:pPr>
  </w:style>
  <w:style w:type="character" w:customStyle="1" w:styleId="UnresolvedMention1">
    <w:name w:val="Unresolved Mention1"/>
    <w:basedOn w:val="DefaultParagraphFont"/>
    <w:uiPriority w:val="99"/>
    <w:semiHidden/>
    <w:unhideWhenUsed/>
    <w:rsid w:val="007B0528"/>
    <w:rPr>
      <w:color w:val="605E5C"/>
      <w:shd w:val="clear" w:color="auto" w:fill="E1DFDD"/>
    </w:rPr>
  </w:style>
  <w:style w:type="paragraph" w:styleId="Revision">
    <w:name w:val="Revision"/>
    <w:hidden/>
    <w:uiPriority w:val="99"/>
    <w:semiHidden/>
    <w:rsid w:val="001C1B61"/>
    <w:pPr>
      <w:spacing w:after="0" w:line="240" w:lineRule="auto"/>
    </w:pPr>
  </w:style>
  <w:style w:type="paragraph" w:styleId="FootnoteText">
    <w:name w:val="footnote text"/>
    <w:basedOn w:val="Normal"/>
    <w:link w:val="FootnoteTextChar"/>
    <w:uiPriority w:val="99"/>
    <w:unhideWhenUsed/>
    <w:rsid w:val="009E5C6B"/>
    <w:pPr>
      <w:spacing w:after="0" w:line="240" w:lineRule="auto"/>
    </w:pPr>
    <w:rPr>
      <w:sz w:val="20"/>
      <w:szCs w:val="20"/>
    </w:rPr>
  </w:style>
  <w:style w:type="character" w:customStyle="1" w:styleId="FootnoteTextChar">
    <w:name w:val="Footnote Text Char"/>
    <w:basedOn w:val="DefaultParagraphFont"/>
    <w:link w:val="FootnoteText"/>
    <w:uiPriority w:val="99"/>
    <w:rsid w:val="009E5C6B"/>
    <w:rPr>
      <w:sz w:val="20"/>
      <w:szCs w:val="20"/>
    </w:rPr>
  </w:style>
  <w:style w:type="character" w:styleId="FootnoteReference">
    <w:name w:val="footnote reference"/>
    <w:basedOn w:val="DefaultParagraphFont"/>
    <w:uiPriority w:val="99"/>
    <w:semiHidden/>
    <w:unhideWhenUsed/>
    <w:rsid w:val="009E5C6B"/>
    <w:rPr>
      <w:vertAlign w:val="superscript"/>
    </w:rPr>
  </w:style>
  <w:style w:type="paragraph" w:customStyle="1" w:styleId="tvhtml">
    <w:name w:val="tv_html"/>
    <w:basedOn w:val="Normal"/>
    <w:rsid w:val="00977FBF"/>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977FB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C5DC6"/>
    <w:pPr>
      <w:suppressAutoHyphens/>
      <w:autoSpaceDN w:val="0"/>
      <w:spacing w:after="0" w:line="240" w:lineRule="auto"/>
      <w:textAlignment w:val="baseline"/>
    </w:pPr>
    <w:rPr>
      <w:rFonts w:ascii="Calibri" w:eastAsia="Calibri" w:hAnsi="Calibri" w:cs="Times New Roman"/>
    </w:rPr>
  </w:style>
  <w:style w:type="paragraph" w:customStyle="1" w:styleId="pamattekststabul">
    <w:name w:val="pamattekststabul"/>
    <w:basedOn w:val="Normal"/>
    <w:rsid w:val="009939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99398F"/>
    <w:rPr>
      <w:color w:val="605E5C"/>
      <w:shd w:val="clear" w:color="auto" w:fill="E1DFDD"/>
    </w:rPr>
  </w:style>
  <w:style w:type="character" w:customStyle="1" w:styleId="NoSpacingChar">
    <w:name w:val="No Spacing Char"/>
    <w:basedOn w:val="DefaultParagraphFont"/>
    <w:link w:val="NoSpacing"/>
    <w:uiPriority w:val="1"/>
    <w:rsid w:val="00E72C30"/>
    <w:rPr>
      <w:rFonts w:ascii="Calibri" w:eastAsia="Calibri" w:hAnsi="Calibri" w:cs="Times New Roman"/>
    </w:rPr>
  </w:style>
  <w:style w:type="paragraph" w:customStyle="1" w:styleId="tv213">
    <w:name w:val="tv213"/>
    <w:basedOn w:val="Normal"/>
    <w:rsid w:val="00E72C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noteik">
    <w:name w:val="lik_noteik"/>
    <w:basedOn w:val="Normal"/>
    <w:rsid w:val="00E72C3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1565">
      <w:bodyDiv w:val="1"/>
      <w:marLeft w:val="0"/>
      <w:marRight w:val="0"/>
      <w:marTop w:val="0"/>
      <w:marBottom w:val="0"/>
      <w:divBdr>
        <w:top w:val="none" w:sz="0" w:space="0" w:color="auto"/>
        <w:left w:val="none" w:sz="0" w:space="0" w:color="auto"/>
        <w:bottom w:val="none" w:sz="0" w:space="0" w:color="auto"/>
        <w:right w:val="none" w:sz="0" w:space="0" w:color="auto"/>
      </w:divBdr>
    </w:div>
    <w:div w:id="839930207">
      <w:bodyDiv w:val="1"/>
      <w:marLeft w:val="0"/>
      <w:marRight w:val="0"/>
      <w:marTop w:val="0"/>
      <w:marBottom w:val="0"/>
      <w:divBdr>
        <w:top w:val="none" w:sz="0" w:space="0" w:color="auto"/>
        <w:left w:val="none" w:sz="0" w:space="0" w:color="auto"/>
        <w:bottom w:val="none" w:sz="0" w:space="0" w:color="auto"/>
        <w:right w:val="none" w:sz="0" w:space="0" w:color="auto"/>
      </w:divBdr>
    </w:div>
    <w:div w:id="901450750">
      <w:bodyDiv w:val="1"/>
      <w:marLeft w:val="0"/>
      <w:marRight w:val="0"/>
      <w:marTop w:val="0"/>
      <w:marBottom w:val="0"/>
      <w:divBdr>
        <w:top w:val="none" w:sz="0" w:space="0" w:color="auto"/>
        <w:left w:val="none" w:sz="0" w:space="0" w:color="auto"/>
        <w:bottom w:val="none" w:sz="0" w:space="0" w:color="auto"/>
        <w:right w:val="none" w:sz="0" w:space="0" w:color="auto"/>
      </w:divBdr>
    </w:div>
    <w:div w:id="1185362839">
      <w:bodyDiv w:val="1"/>
      <w:marLeft w:val="0"/>
      <w:marRight w:val="0"/>
      <w:marTop w:val="0"/>
      <w:marBottom w:val="0"/>
      <w:divBdr>
        <w:top w:val="none" w:sz="0" w:space="0" w:color="auto"/>
        <w:left w:val="none" w:sz="0" w:space="0" w:color="auto"/>
        <w:bottom w:val="none" w:sz="0" w:space="0" w:color="auto"/>
        <w:right w:val="none" w:sz="0" w:space="0" w:color="auto"/>
      </w:divBdr>
    </w:div>
    <w:div w:id="1206022413">
      <w:bodyDiv w:val="1"/>
      <w:marLeft w:val="0"/>
      <w:marRight w:val="0"/>
      <w:marTop w:val="0"/>
      <w:marBottom w:val="0"/>
      <w:divBdr>
        <w:top w:val="none" w:sz="0" w:space="0" w:color="auto"/>
        <w:left w:val="none" w:sz="0" w:space="0" w:color="auto"/>
        <w:bottom w:val="none" w:sz="0" w:space="0" w:color="auto"/>
        <w:right w:val="none" w:sz="0" w:space="0" w:color="auto"/>
      </w:divBdr>
      <w:divsChild>
        <w:div w:id="1865435440">
          <w:marLeft w:val="0"/>
          <w:marRight w:val="0"/>
          <w:marTop w:val="0"/>
          <w:marBottom w:val="0"/>
          <w:divBdr>
            <w:top w:val="none" w:sz="0" w:space="0" w:color="auto"/>
            <w:left w:val="none" w:sz="0" w:space="0" w:color="auto"/>
            <w:bottom w:val="none" w:sz="0" w:space="0" w:color="auto"/>
            <w:right w:val="none" w:sz="0" w:space="0" w:color="auto"/>
          </w:divBdr>
          <w:divsChild>
            <w:div w:id="439884270">
              <w:marLeft w:val="0"/>
              <w:marRight w:val="0"/>
              <w:marTop w:val="0"/>
              <w:marBottom w:val="0"/>
              <w:divBdr>
                <w:top w:val="none" w:sz="0" w:space="0" w:color="auto"/>
                <w:left w:val="none" w:sz="0" w:space="0" w:color="auto"/>
                <w:bottom w:val="none" w:sz="0" w:space="0" w:color="auto"/>
                <w:right w:val="none" w:sz="0" w:space="0" w:color="auto"/>
              </w:divBdr>
              <w:divsChild>
                <w:div w:id="1257405833">
                  <w:marLeft w:val="0"/>
                  <w:marRight w:val="0"/>
                  <w:marTop w:val="0"/>
                  <w:marBottom w:val="0"/>
                  <w:divBdr>
                    <w:top w:val="none" w:sz="0" w:space="0" w:color="auto"/>
                    <w:left w:val="none" w:sz="0" w:space="0" w:color="auto"/>
                    <w:bottom w:val="none" w:sz="0" w:space="0" w:color="auto"/>
                    <w:right w:val="none" w:sz="0" w:space="0" w:color="auto"/>
                  </w:divBdr>
                  <w:divsChild>
                    <w:div w:id="169877164">
                      <w:marLeft w:val="0"/>
                      <w:marRight w:val="0"/>
                      <w:marTop w:val="0"/>
                      <w:marBottom w:val="0"/>
                      <w:divBdr>
                        <w:top w:val="none" w:sz="0" w:space="0" w:color="auto"/>
                        <w:left w:val="none" w:sz="0" w:space="0" w:color="auto"/>
                        <w:bottom w:val="none" w:sz="0" w:space="0" w:color="auto"/>
                        <w:right w:val="none" w:sz="0" w:space="0" w:color="auto"/>
                      </w:divBdr>
                    </w:div>
                    <w:div w:id="13506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8236">
              <w:marLeft w:val="0"/>
              <w:marRight w:val="0"/>
              <w:marTop w:val="0"/>
              <w:marBottom w:val="0"/>
              <w:divBdr>
                <w:top w:val="none" w:sz="0" w:space="0" w:color="auto"/>
                <w:left w:val="none" w:sz="0" w:space="0" w:color="auto"/>
                <w:bottom w:val="none" w:sz="0" w:space="0" w:color="auto"/>
                <w:right w:val="none" w:sz="0" w:space="0" w:color="auto"/>
              </w:divBdr>
            </w:div>
            <w:div w:id="636566732">
              <w:marLeft w:val="0"/>
              <w:marRight w:val="0"/>
              <w:marTop w:val="0"/>
              <w:marBottom w:val="0"/>
              <w:divBdr>
                <w:top w:val="none" w:sz="0" w:space="0" w:color="auto"/>
                <w:left w:val="none" w:sz="0" w:space="0" w:color="auto"/>
                <w:bottom w:val="none" w:sz="0" w:space="0" w:color="auto"/>
                <w:right w:val="none" w:sz="0" w:space="0" w:color="auto"/>
              </w:divBdr>
            </w:div>
            <w:div w:id="1851943216">
              <w:marLeft w:val="0"/>
              <w:marRight w:val="0"/>
              <w:marTop w:val="0"/>
              <w:marBottom w:val="0"/>
              <w:divBdr>
                <w:top w:val="none" w:sz="0" w:space="0" w:color="auto"/>
                <w:left w:val="none" w:sz="0" w:space="0" w:color="auto"/>
                <w:bottom w:val="none" w:sz="0" w:space="0" w:color="auto"/>
                <w:right w:val="none" w:sz="0" w:space="0" w:color="auto"/>
              </w:divBdr>
            </w:div>
            <w:div w:id="18622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5142">
      <w:bodyDiv w:val="1"/>
      <w:marLeft w:val="0"/>
      <w:marRight w:val="0"/>
      <w:marTop w:val="0"/>
      <w:marBottom w:val="0"/>
      <w:divBdr>
        <w:top w:val="none" w:sz="0" w:space="0" w:color="auto"/>
        <w:left w:val="none" w:sz="0" w:space="0" w:color="auto"/>
        <w:bottom w:val="none" w:sz="0" w:space="0" w:color="auto"/>
        <w:right w:val="none" w:sz="0" w:space="0" w:color="auto"/>
      </w:divBdr>
    </w:div>
    <w:div w:id="1445926130">
      <w:bodyDiv w:val="1"/>
      <w:marLeft w:val="0"/>
      <w:marRight w:val="0"/>
      <w:marTop w:val="0"/>
      <w:marBottom w:val="0"/>
      <w:divBdr>
        <w:top w:val="none" w:sz="0" w:space="0" w:color="auto"/>
        <w:left w:val="none" w:sz="0" w:space="0" w:color="auto"/>
        <w:bottom w:val="none" w:sz="0" w:space="0" w:color="auto"/>
        <w:right w:val="none" w:sz="0" w:space="0" w:color="auto"/>
      </w:divBdr>
    </w:div>
    <w:div w:id="1666861522">
      <w:bodyDiv w:val="1"/>
      <w:marLeft w:val="0"/>
      <w:marRight w:val="0"/>
      <w:marTop w:val="0"/>
      <w:marBottom w:val="0"/>
      <w:divBdr>
        <w:top w:val="none" w:sz="0" w:space="0" w:color="auto"/>
        <w:left w:val="none" w:sz="0" w:space="0" w:color="auto"/>
        <w:bottom w:val="none" w:sz="0" w:space="0" w:color="auto"/>
        <w:right w:val="none" w:sz="0" w:space="0" w:color="auto"/>
      </w:divBdr>
      <w:divsChild>
        <w:div w:id="1535731004">
          <w:marLeft w:val="0"/>
          <w:marRight w:val="0"/>
          <w:marTop w:val="0"/>
          <w:marBottom w:val="0"/>
          <w:divBdr>
            <w:top w:val="none" w:sz="0" w:space="0" w:color="auto"/>
            <w:left w:val="none" w:sz="0" w:space="0" w:color="auto"/>
            <w:bottom w:val="none" w:sz="0" w:space="0" w:color="auto"/>
            <w:right w:val="none" w:sz="0" w:space="0" w:color="auto"/>
          </w:divBdr>
        </w:div>
      </w:divsChild>
    </w:div>
    <w:div w:id="1759598606">
      <w:bodyDiv w:val="1"/>
      <w:marLeft w:val="0"/>
      <w:marRight w:val="0"/>
      <w:marTop w:val="0"/>
      <w:marBottom w:val="0"/>
      <w:divBdr>
        <w:top w:val="none" w:sz="0" w:space="0" w:color="auto"/>
        <w:left w:val="none" w:sz="0" w:space="0" w:color="auto"/>
        <w:bottom w:val="none" w:sz="0" w:space="0" w:color="auto"/>
        <w:right w:val="none" w:sz="0" w:space="0" w:color="auto"/>
      </w:divBdr>
    </w:div>
    <w:div w:id="18966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ja.kornenkova@v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970B-AB23-4FF2-A4A7-149EE286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11836</Words>
  <Characters>6747</Characters>
  <Application>Microsoft Office Word</Application>
  <DocSecurity>0</DocSecurity>
  <Lines>56</Lines>
  <Paragraphs>37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Ministru kabineta noteikumu projekta “Grozījumi Ministru kabineta 2020. gada 9. jūnija noteikumos Nr. 360 “Epidemioloģiskās drošības pasākumi Covid-19 infekcijas izplatības ierobežošanai”” sākotnējās ietekmes novērtējuma ziņojums (anotācija)</vt:lpstr>
      <vt:lpstr>Ministru kabineta noteikumu projekta “Grozījumi Ministru kabineta 2020. gada 9. jūnija noteikumos Nr. 360 “Epidemioloģiskās drošības pasākumi Covid-19 infekcijas izplatības ierobežošanai”” sākotnējās ietekmes novērtējuma ziņojums (anotācija)</vt:lpstr>
      <vt:lpstr>Ministru kabineta noteikumu projekta “Grozījumi Ministru kabineta 2020. gada 9. jūnija noteikumos Nr. 360 “Epidemioloģiskās drošības pasākumi Covid-19 infekcijas izplatības ierobežošanai”” sākotnējās ietekmes novērtējuma ziņojums (anotācija)</vt:lpstr>
    </vt:vector>
  </TitlesOfParts>
  <Company>Veselības ministrija</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2020. gada 9. jūnija noteikumos Nr. 360 “Epidemioloģiskās drošības pasākumi Covid-19 infekcijas izplatības ierobežošanai”” sākotnējās ietekmes novērtējuma ziņojums (anotācija)</dc:title>
  <dc:subject>anotācija</dc:subject>
  <dc:creator>Viktorija Korņenkova</dc:creator>
  <cp:keywords/>
  <dc:description>Liepiņa 67876080_x000d_
Inga.Liepina@vm.gov.lv_x000d_
Būmane 67876148_x000d_
dace.bumane@vm.gov.lv</dc:description>
  <cp:lastModifiedBy>Viktorija Korņenkova</cp:lastModifiedBy>
  <cp:revision>5</cp:revision>
  <cp:lastPrinted>2020-09-10T14:00:00Z</cp:lastPrinted>
  <dcterms:created xsi:type="dcterms:W3CDTF">2021-09-03T10:52:00Z</dcterms:created>
  <dcterms:modified xsi:type="dcterms:W3CDTF">2021-09-03T11:59:00Z</dcterms:modified>
</cp:coreProperties>
</file>