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ABEB5" w14:textId="674E2BA1" w:rsidR="007723BA" w:rsidRPr="00FB0086" w:rsidRDefault="007723BA" w:rsidP="007723BA">
      <w:pPr>
        <w:shd w:val="clear" w:color="auto" w:fill="FFFFFF"/>
        <w:spacing w:after="0" w:line="240" w:lineRule="auto"/>
        <w:jc w:val="center"/>
        <w:rPr>
          <w:rFonts w:ascii="Times New Roman" w:eastAsia="Times New Roman" w:hAnsi="Times New Roman" w:cs="Times New Roman"/>
          <w:b/>
          <w:sz w:val="28"/>
          <w:szCs w:val="28"/>
          <w:lang w:eastAsia="lv-LV"/>
        </w:rPr>
      </w:pPr>
      <w:r w:rsidRPr="00FB0086">
        <w:rPr>
          <w:rFonts w:ascii="Times New Roman" w:eastAsia="Times New Roman" w:hAnsi="Times New Roman" w:cs="Times New Roman"/>
          <w:b/>
          <w:sz w:val="28"/>
          <w:szCs w:val="28"/>
          <w:lang w:eastAsia="lv-LV"/>
        </w:rPr>
        <w:t xml:space="preserve">Ministru kabineta noteikumu </w:t>
      </w:r>
      <w:r w:rsidR="00B914B5" w:rsidRPr="00FB0086">
        <w:rPr>
          <w:rFonts w:ascii="Times New Roman" w:eastAsia="Times New Roman" w:hAnsi="Times New Roman" w:cs="Times New Roman"/>
          <w:b/>
          <w:sz w:val="28"/>
          <w:szCs w:val="28"/>
          <w:lang w:eastAsia="lv-LV"/>
        </w:rPr>
        <w:t>projekt</w:t>
      </w:r>
      <w:r w:rsidR="009B7740" w:rsidRPr="00FB0086">
        <w:rPr>
          <w:rFonts w:ascii="Times New Roman" w:eastAsia="Times New Roman" w:hAnsi="Times New Roman" w:cs="Times New Roman"/>
          <w:b/>
          <w:sz w:val="28"/>
          <w:szCs w:val="28"/>
          <w:lang w:eastAsia="lv-LV"/>
        </w:rPr>
        <w:t>a</w:t>
      </w:r>
    </w:p>
    <w:p w14:paraId="4DA3BCB4" w14:textId="2A35758D" w:rsidR="007723BA" w:rsidRPr="00FB0086" w:rsidRDefault="007723BA" w:rsidP="00B914B5">
      <w:pPr>
        <w:shd w:val="clear" w:color="auto" w:fill="FFFFFF"/>
        <w:spacing w:after="0" w:line="240" w:lineRule="auto"/>
        <w:jc w:val="center"/>
        <w:rPr>
          <w:rFonts w:ascii="Times New Roman" w:eastAsia="Times New Roman" w:hAnsi="Times New Roman" w:cs="Times New Roman"/>
          <w:b/>
          <w:sz w:val="28"/>
          <w:szCs w:val="28"/>
          <w:lang w:eastAsia="lv-LV"/>
        </w:rPr>
      </w:pPr>
      <w:r w:rsidRPr="00FB0086">
        <w:rPr>
          <w:rFonts w:ascii="Times New Roman" w:eastAsia="Times New Roman" w:hAnsi="Times New Roman" w:cs="Times New Roman"/>
          <w:b/>
          <w:sz w:val="28"/>
          <w:szCs w:val="28"/>
          <w:lang w:eastAsia="lv-LV"/>
        </w:rPr>
        <w:t>„Grozījumi</w:t>
      </w:r>
      <w:r w:rsidR="009B7740" w:rsidRPr="00FB0086">
        <w:rPr>
          <w:rFonts w:ascii="Times New Roman" w:hAnsi="Times New Roman" w:cs="Times New Roman"/>
          <w:b/>
          <w:sz w:val="28"/>
          <w:szCs w:val="28"/>
        </w:rPr>
        <w:t xml:space="preserve"> Ministru kabineta 2019.gada 10.decembra noteikumos Nr. 641 “Zāļu valsts aģentūras maksas pakalpojumu cenrādis</w:t>
      </w:r>
      <w:r w:rsidRPr="00FB0086">
        <w:rPr>
          <w:rFonts w:ascii="Times New Roman" w:eastAsia="Times New Roman" w:hAnsi="Times New Roman" w:cs="Times New Roman"/>
          <w:b/>
          <w:sz w:val="28"/>
          <w:szCs w:val="28"/>
          <w:lang w:eastAsia="lv-LV"/>
        </w:rPr>
        <w:t xml:space="preserve">”” </w:t>
      </w:r>
    </w:p>
    <w:p w14:paraId="1D8B3629" w14:textId="5017D515" w:rsidR="007723BA" w:rsidRPr="00FB0086" w:rsidRDefault="007723BA" w:rsidP="007723BA">
      <w:pPr>
        <w:shd w:val="clear" w:color="auto" w:fill="FFFFFF"/>
        <w:spacing w:after="0" w:line="240" w:lineRule="auto"/>
        <w:jc w:val="center"/>
        <w:rPr>
          <w:rFonts w:ascii="Times New Roman" w:eastAsia="Times New Roman" w:hAnsi="Times New Roman" w:cs="Times New Roman"/>
          <w:b/>
          <w:sz w:val="28"/>
          <w:szCs w:val="28"/>
          <w:lang w:eastAsia="lv-LV"/>
        </w:rPr>
      </w:pPr>
      <w:r w:rsidRPr="00FB0086">
        <w:rPr>
          <w:rFonts w:ascii="Times New Roman" w:eastAsia="Times New Roman" w:hAnsi="Times New Roman" w:cs="Times New Roman"/>
          <w:b/>
          <w:sz w:val="28"/>
          <w:szCs w:val="28"/>
          <w:lang w:eastAsia="lv-LV"/>
        </w:rPr>
        <w:t>sākotnējās ietekmes novērtējuma ziņojums (anotācija)</w:t>
      </w:r>
    </w:p>
    <w:p w14:paraId="00A98489" w14:textId="77777777" w:rsidR="007723BA" w:rsidRDefault="007723BA" w:rsidP="007723BA">
      <w:pPr>
        <w:shd w:val="clear" w:color="auto" w:fill="FFFFFF"/>
        <w:spacing w:before="45" w:after="0" w:line="248" w:lineRule="atLeast"/>
        <w:ind w:firstLine="300"/>
        <w:jc w:val="center"/>
        <w:rPr>
          <w:rFonts w:ascii="Times New Roman" w:eastAsia="Times New Roman" w:hAnsi="Times New Roman" w:cs="Times New Roman"/>
          <w:iCs/>
          <w:color w:val="414142"/>
          <w:sz w:val="24"/>
          <w:szCs w:val="24"/>
          <w:lang w:eastAsia="lv-LV"/>
        </w:rPr>
      </w:pPr>
    </w:p>
    <w:tbl>
      <w:tblPr>
        <w:tblStyle w:val="TableGrid"/>
        <w:tblW w:w="9640" w:type="dxa"/>
        <w:tblInd w:w="-289" w:type="dxa"/>
        <w:tblLook w:val="04A0" w:firstRow="1" w:lastRow="0" w:firstColumn="1" w:lastColumn="0" w:noHBand="0" w:noVBand="1"/>
      </w:tblPr>
      <w:tblGrid>
        <w:gridCol w:w="3119"/>
        <w:gridCol w:w="6521"/>
      </w:tblGrid>
      <w:tr w:rsidR="007723BA" w14:paraId="0D23CDCE" w14:textId="77777777" w:rsidTr="00630627">
        <w:tc>
          <w:tcPr>
            <w:tcW w:w="9640" w:type="dxa"/>
            <w:gridSpan w:val="2"/>
          </w:tcPr>
          <w:p w14:paraId="024E33BF" w14:textId="77777777" w:rsidR="007723BA" w:rsidRPr="005A1C49" w:rsidRDefault="007723BA" w:rsidP="00630627">
            <w:pPr>
              <w:spacing w:before="45" w:line="248" w:lineRule="atLeast"/>
              <w:jc w:val="center"/>
              <w:rPr>
                <w:rFonts w:ascii="Times New Roman" w:eastAsia="Times New Roman" w:hAnsi="Times New Roman" w:cs="Times New Roman"/>
                <w:iCs/>
                <w:sz w:val="24"/>
                <w:szCs w:val="24"/>
                <w:lang w:eastAsia="lv-LV"/>
              </w:rPr>
            </w:pPr>
            <w:r w:rsidRPr="005A1C49">
              <w:rPr>
                <w:rFonts w:ascii="Times New Roman" w:eastAsia="Times New Roman" w:hAnsi="Times New Roman" w:cs="Times New Roman"/>
                <w:b/>
                <w:bCs/>
                <w:iCs/>
                <w:sz w:val="24"/>
                <w:szCs w:val="24"/>
                <w:lang w:val="sv-SE" w:eastAsia="lv-LV"/>
              </w:rPr>
              <w:t>Tiesību akta projekta anotācijas kopsavilkums</w:t>
            </w:r>
          </w:p>
        </w:tc>
      </w:tr>
      <w:tr w:rsidR="007723BA" w14:paraId="07D330AA" w14:textId="77777777" w:rsidTr="00630627">
        <w:tc>
          <w:tcPr>
            <w:tcW w:w="3119" w:type="dxa"/>
          </w:tcPr>
          <w:p w14:paraId="319B0547" w14:textId="77777777" w:rsidR="007723BA" w:rsidRDefault="007723BA" w:rsidP="00630627">
            <w:pPr>
              <w:spacing w:before="45" w:line="248" w:lineRule="atLeast"/>
              <w:jc w:val="both"/>
              <w:rPr>
                <w:rFonts w:ascii="Times New Roman" w:eastAsia="Times New Roman" w:hAnsi="Times New Roman" w:cs="Times New Roman"/>
                <w:iCs/>
                <w:color w:val="414142"/>
                <w:sz w:val="24"/>
                <w:szCs w:val="24"/>
                <w:lang w:eastAsia="lv-LV"/>
              </w:rPr>
            </w:pPr>
            <w:r w:rsidRPr="005A1C49">
              <w:rPr>
                <w:rFonts w:ascii="Times New Roman" w:eastAsia="Times New Roman" w:hAnsi="Times New Roman" w:cs="Times New Roman"/>
                <w:iCs/>
                <w:sz w:val="24"/>
                <w:szCs w:val="24"/>
                <w:lang w:eastAsia="lv-LV"/>
              </w:rPr>
              <w:t>Mērķis, risinājums un projekta spēkā stāšanās laiks (500 zīmes bez atstarpēm)</w:t>
            </w:r>
          </w:p>
        </w:tc>
        <w:tc>
          <w:tcPr>
            <w:tcW w:w="6521" w:type="dxa"/>
          </w:tcPr>
          <w:p w14:paraId="713C406D" w14:textId="1AC3B820" w:rsidR="00205F5B" w:rsidRDefault="00205F5B" w:rsidP="00205F5B">
            <w:pPr>
              <w:jc w:val="both"/>
              <w:rPr>
                <w:rFonts w:ascii="Times New Roman" w:eastAsia="Times New Roman" w:hAnsi="Times New Roman" w:cs="Times New Roman"/>
                <w:sz w:val="24"/>
                <w:szCs w:val="24"/>
              </w:rPr>
            </w:pPr>
            <w:r w:rsidRPr="00EB31B5">
              <w:rPr>
                <w:rFonts w:ascii="Times New Roman" w:eastAsia="Times New Roman" w:hAnsi="Times New Roman" w:cs="Times New Roman"/>
                <w:iCs/>
                <w:sz w:val="24"/>
                <w:szCs w:val="24"/>
                <w:lang w:eastAsia="lv-LV"/>
              </w:rPr>
              <w:t>Ministru kabineta noteikumu projekta mērķis ir aktualizēt “</w:t>
            </w:r>
            <w:r w:rsidRPr="009B7740">
              <w:rPr>
                <w:rFonts w:ascii="Times New Roman" w:hAnsi="Times New Roman" w:cs="Times New Roman"/>
                <w:sz w:val="24"/>
                <w:szCs w:val="24"/>
              </w:rPr>
              <w:t>Zāļu valsts aģentūras maksas pakalpojumu cenrādis</w:t>
            </w:r>
            <w:r w:rsidRPr="00EB31B5">
              <w:rPr>
                <w:rFonts w:ascii="Times New Roman" w:eastAsia="Times New Roman" w:hAnsi="Times New Roman" w:cs="Times New Roman"/>
                <w:iCs/>
                <w:sz w:val="24"/>
                <w:szCs w:val="24"/>
                <w:lang w:eastAsia="lv-LV"/>
              </w:rPr>
              <w:t xml:space="preserve">” atbilstoši faktiskajām izmaksām, kā arī </w:t>
            </w:r>
            <w:r w:rsidRPr="00EB31B5">
              <w:rPr>
                <w:rFonts w:ascii="Times New Roman" w:eastAsia="Times New Roman" w:hAnsi="Times New Roman" w:cs="Times New Roman"/>
                <w:sz w:val="24"/>
                <w:szCs w:val="24"/>
              </w:rPr>
              <w:t>precizēt pakalpojumu klāstu, atbilstoši organizācijas un pakalpojumu izpildes faktiskajām izmaksām.</w:t>
            </w:r>
          </w:p>
          <w:p w14:paraId="2DF59468" w14:textId="54890EC8" w:rsidR="00705B9B" w:rsidRPr="00705B9B" w:rsidRDefault="00705B9B" w:rsidP="00705B9B">
            <w:pPr>
              <w:spacing w:before="45" w:line="248" w:lineRule="atLeast"/>
              <w:jc w:val="both"/>
              <w:rPr>
                <w:rFonts w:ascii="Times New Roman" w:hAnsi="Times New Roman" w:cs="Times New Roman"/>
                <w:sz w:val="24"/>
                <w:szCs w:val="24"/>
              </w:rPr>
            </w:pPr>
            <w:r w:rsidRPr="00705B9B">
              <w:rPr>
                <w:rFonts w:ascii="Times New Roman" w:hAnsi="Times New Roman" w:cs="Times New Roman"/>
                <w:sz w:val="24"/>
                <w:szCs w:val="24"/>
              </w:rPr>
              <w:t>Šo noteikumu 1.11. un 1.12. apakšpunkts stājas spēkā 2021. gada 1.</w:t>
            </w:r>
            <w:r w:rsidR="00FB0086">
              <w:rPr>
                <w:rFonts w:ascii="Times New Roman" w:hAnsi="Times New Roman" w:cs="Times New Roman"/>
                <w:sz w:val="24"/>
                <w:szCs w:val="24"/>
              </w:rPr>
              <w:t>okto</w:t>
            </w:r>
            <w:r w:rsidRPr="00705B9B">
              <w:rPr>
                <w:rFonts w:ascii="Times New Roman" w:hAnsi="Times New Roman" w:cs="Times New Roman"/>
                <w:sz w:val="24"/>
                <w:szCs w:val="24"/>
              </w:rPr>
              <w:t>brī.</w:t>
            </w:r>
          </w:p>
          <w:p w14:paraId="1004162B" w14:textId="29220928" w:rsidR="007723BA" w:rsidRPr="00122B56" w:rsidRDefault="00705B9B" w:rsidP="00705B9B">
            <w:pPr>
              <w:spacing w:before="45" w:line="248" w:lineRule="atLeast"/>
              <w:jc w:val="both"/>
              <w:rPr>
                <w:rFonts w:ascii="Times New Roman" w:eastAsia="Times New Roman" w:hAnsi="Times New Roman" w:cs="Times New Roman"/>
                <w:sz w:val="24"/>
                <w:szCs w:val="24"/>
              </w:rPr>
            </w:pPr>
            <w:r w:rsidRPr="00705B9B">
              <w:rPr>
                <w:rFonts w:ascii="Times New Roman" w:hAnsi="Times New Roman" w:cs="Times New Roman"/>
                <w:sz w:val="24"/>
                <w:szCs w:val="24"/>
              </w:rPr>
              <w:t>Šo noteikumu 1.10. un 1.14. apakšpunkts stājas spēkā 2022. gada 1. janvārī</w:t>
            </w:r>
            <w:r w:rsidR="00953506">
              <w:rPr>
                <w:rFonts w:ascii="Times New Roman" w:hAnsi="Times New Roman" w:cs="Times New Roman"/>
                <w:sz w:val="24"/>
                <w:szCs w:val="24"/>
              </w:rPr>
              <w:t>.</w:t>
            </w:r>
          </w:p>
        </w:tc>
      </w:tr>
    </w:tbl>
    <w:p w14:paraId="4BFE9058" w14:textId="77777777" w:rsidR="007723BA" w:rsidRPr="00894C55" w:rsidRDefault="007723BA" w:rsidP="007723BA">
      <w:pPr>
        <w:shd w:val="clear" w:color="auto" w:fill="FFFFFF"/>
        <w:spacing w:before="45" w:after="0" w:line="248" w:lineRule="atLeast"/>
        <w:rPr>
          <w:rFonts w:ascii="Times New Roman" w:eastAsia="Times New Roman" w:hAnsi="Times New Roman" w:cs="Times New Roman"/>
          <w:iCs/>
          <w:color w:val="414142"/>
          <w:sz w:val="24"/>
          <w:szCs w:val="24"/>
          <w:lang w:eastAsia="lv-LV"/>
        </w:rPr>
      </w:pPr>
    </w:p>
    <w:tbl>
      <w:tblPr>
        <w:tblW w:w="5401" w:type="pct"/>
        <w:tblInd w:w="-292" w:type="dxa"/>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568"/>
        <w:gridCol w:w="2124"/>
        <w:gridCol w:w="7089"/>
      </w:tblGrid>
      <w:tr w:rsidR="007723BA" w:rsidRPr="00C918F0" w14:paraId="5F4827CA" w14:textId="77777777" w:rsidTr="000D5765">
        <w:trPr>
          <w:trHeight w:val="32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FF46EB6" w14:textId="77777777" w:rsidR="007723BA" w:rsidRPr="00C918F0" w:rsidRDefault="007723BA" w:rsidP="00630627">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918F0">
              <w:rPr>
                <w:rFonts w:ascii="Times New Roman" w:eastAsia="Times New Roman" w:hAnsi="Times New Roman" w:cs="Times New Roman"/>
                <w:b/>
                <w:bCs/>
                <w:sz w:val="24"/>
                <w:szCs w:val="24"/>
                <w:lang w:eastAsia="lv-LV"/>
              </w:rPr>
              <w:t>I. Tiesību akta projekta izstrādes nepieciešamība</w:t>
            </w:r>
          </w:p>
        </w:tc>
      </w:tr>
      <w:tr w:rsidR="007723BA" w:rsidRPr="00C918F0" w14:paraId="0070B31A" w14:textId="77777777" w:rsidTr="00D62DE2">
        <w:trPr>
          <w:trHeight w:val="324"/>
        </w:trPr>
        <w:tc>
          <w:tcPr>
            <w:tcW w:w="290" w:type="pct"/>
            <w:tcBorders>
              <w:top w:val="outset" w:sz="6" w:space="0" w:color="414142"/>
              <w:left w:val="outset" w:sz="6" w:space="0" w:color="414142"/>
              <w:bottom w:val="outset" w:sz="6" w:space="0" w:color="414142"/>
              <w:right w:val="outset" w:sz="6" w:space="0" w:color="414142"/>
            </w:tcBorders>
            <w:hideMark/>
          </w:tcPr>
          <w:p w14:paraId="6E2B4AF8" w14:textId="77777777" w:rsidR="007723BA" w:rsidRPr="00C918F0" w:rsidRDefault="007723BA" w:rsidP="0063062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1.</w:t>
            </w:r>
          </w:p>
        </w:tc>
        <w:tc>
          <w:tcPr>
            <w:tcW w:w="1086" w:type="pct"/>
            <w:tcBorders>
              <w:top w:val="outset" w:sz="6" w:space="0" w:color="414142"/>
              <w:left w:val="outset" w:sz="6" w:space="0" w:color="414142"/>
              <w:bottom w:val="outset" w:sz="6" w:space="0" w:color="414142"/>
              <w:right w:val="outset" w:sz="6" w:space="0" w:color="414142"/>
            </w:tcBorders>
            <w:hideMark/>
          </w:tcPr>
          <w:p w14:paraId="0DE7FD17" w14:textId="77777777" w:rsidR="007723BA" w:rsidRDefault="007723BA" w:rsidP="00630627">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Pamatojums</w:t>
            </w:r>
          </w:p>
          <w:p w14:paraId="616B346A" w14:textId="5877EE79" w:rsidR="007723BA" w:rsidRDefault="007723BA" w:rsidP="00B914B5">
            <w:pPr>
              <w:tabs>
                <w:tab w:val="left" w:pos="1200"/>
              </w:tabs>
              <w:rPr>
                <w:rFonts w:ascii="Times New Roman" w:eastAsia="Times New Roman" w:hAnsi="Times New Roman" w:cs="Times New Roman"/>
                <w:sz w:val="24"/>
                <w:szCs w:val="24"/>
                <w:lang w:eastAsia="lv-LV"/>
              </w:rPr>
            </w:pPr>
          </w:p>
          <w:p w14:paraId="68C6B087" w14:textId="77777777" w:rsidR="007723BA" w:rsidRPr="00970ECD" w:rsidRDefault="007723BA" w:rsidP="00630627">
            <w:pPr>
              <w:ind w:firstLine="720"/>
              <w:rPr>
                <w:rFonts w:ascii="Times New Roman" w:eastAsia="Times New Roman" w:hAnsi="Times New Roman" w:cs="Times New Roman"/>
                <w:sz w:val="24"/>
                <w:szCs w:val="24"/>
                <w:lang w:eastAsia="lv-LV"/>
              </w:rPr>
            </w:pPr>
          </w:p>
        </w:tc>
        <w:tc>
          <w:tcPr>
            <w:tcW w:w="3623" w:type="pct"/>
            <w:tcBorders>
              <w:top w:val="outset" w:sz="6" w:space="0" w:color="414142"/>
              <w:left w:val="outset" w:sz="6" w:space="0" w:color="414142"/>
              <w:bottom w:val="outset" w:sz="6" w:space="0" w:color="414142"/>
              <w:right w:val="outset" w:sz="6" w:space="0" w:color="414142"/>
            </w:tcBorders>
          </w:tcPr>
          <w:p w14:paraId="5D40224C" w14:textId="46825114" w:rsidR="007723BA" w:rsidRPr="00736998" w:rsidRDefault="00176AF9" w:rsidP="00736998">
            <w:pPr>
              <w:shd w:val="clear" w:color="auto" w:fill="FFFFFF"/>
              <w:spacing w:after="0" w:line="240" w:lineRule="auto"/>
              <w:jc w:val="both"/>
              <w:rPr>
                <w:rFonts w:ascii="Times New Roman" w:eastAsia="Times New Roman" w:hAnsi="Times New Roman" w:cs="Times New Roman"/>
                <w:bCs/>
                <w:sz w:val="24"/>
                <w:szCs w:val="24"/>
                <w:lang w:eastAsia="lv-LV"/>
              </w:rPr>
            </w:pPr>
            <w:r w:rsidRPr="000A0240">
              <w:rPr>
                <w:rFonts w:ascii="Times New Roman" w:eastAsia="Times New Roman" w:hAnsi="Times New Roman" w:cs="Times New Roman"/>
                <w:bCs/>
                <w:sz w:val="24"/>
                <w:szCs w:val="24"/>
                <w:lang w:eastAsia="lv-LV"/>
              </w:rPr>
              <w:t xml:space="preserve">Ministru kabineta noteikumu </w:t>
            </w:r>
            <w:r>
              <w:rPr>
                <w:rFonts w:ascii="Times New Roman" w:eastAsia="Times New Roman" w:hAnsi="Times New Roman" w:cs="Times New Roman"/>
                <w:bCs/>
                <w:sz w:val="24"/>
                <w:szCs w:val="24"/>
                <w:lang w:eastAsia="lv-LV"/>
              </w:rPr>
              <w:t>projekt</w:t>
            </w:r>
            <w:r w:rsidR="000C6DE2">
              <w:rPr>
                <w:rFonts w:ascii="Times New Roman" w:eastAsia="Times New Roman" w:hAnsi="Times New Roman" w:cs="Times New Roman"/>
                <w:bCs/>
                <w:sz w:val="24"/>
                <w:szCs w:val="24"/>
                <w:lang w:eastAsia="lv-LV"/>
              </w:rPr>
              <w:t>s</w:t>
            </w:r>
            <w:r>
              <w:rPr>
                <w:rFonts w:ascii="Times New Roman" w:eastAsia="Times New Roman" w:hAnsi="Times New Roman" w:cs="Times New Roman"/>
                <w:bCs/>
                <w:sz w:val="24"/>
                <w:szCs w:val="24"/>
                <w:lang w:eastAsia="lv-LV"/>
              </w:rPr>
              <w:t xml:space="preserve"> </w:t>
            </w:r>
            <w:r w:rsidRPr="00B914B5">
              <w:rPr>
                <w:rFonts w:ascii="Times New Roman" w:eastAsia="Times New Roman" w:hAnsi="Times New Roman" w:cs="Times New Roman"/>
                <w:sz w:val="24"/>
                <w:szCs w:val="24"/>
                <w:lang w:eastAsia="lv-LV"/>
              </w:rPr>
              <w:t>„</w:t>
            </w:r>
            <w:r w:rsidRPr="009B7740">
              <w:rPr>
                <w:rFonts w:ascii="Times New Roman" w:eastAsia="Times New Roman" w:hAnsi="Times New Roman" w:cs="Times New Roman"/>
                <w:sz w:val="24"/>
                <w:szCs w:val="24"/>
                <w:lang w:eastAsia="lv-LV"/>
              </w:rPr>
              <w:t>Grozījumi</w:t>
            </w:r>
            <w:r w:rsidRPr="009B7740">
              <w:rPr>
                <w:rFonts w:ascii="Times New Roman" w:hAnsi="Times New Roman" w:cs="Times New Roman"/>
                <w:sz w:val="24"/>
                <w:szCs w:val="24"/>
              </w:rPr>
              <w:t xml:space="preserve"> </w:t>
            </w:r>
            <w:r>
              <w:rPr>
                <w:rFonts w:ascii="Times New Roman" w:hAnsi="Times New Roman" w:cs="Times New Roman"/>
                <w:sz w:val="24"/>
                <w:szCs w:val="24"/>
              </w:rPr>
              <w:t>Ministru kabineta 2019.gada 10.decembra noteikumos Nr. 641 “</w:t>
            </w:r>
            <w:r w:rsidRPr="009B7740">
              <w:rPr>
                <w:rFonts w:ascii="Times New Roman" w:hAnsi="Times New Roman" w:cs="Times New Roman"/>
                <w:sz w:val="24"/>
                <w:szCs w:val="24"/>
              </w:rPr>
              <w:t>Zāļu valsts aģentūras maksas pakalpojumu cenrādis</w:t>
            </w:r>
            <w:r w:rsidRPr="009B7740">
              <w:rPr>
                <w:rFonts w:ascii="Times New Roman" w:eastAsia="Times New Roman" w:hAnsi="Times New Roman" w:cs="Times New Roman"/>
                <w:sz w:val="24"/>
                <w:szCs w:val="24"/>
                <w:lang w:eastAsia="lv-LV"/>
              </w:rPr>
              <w:t xml:space="preserve">”” </w:t>
            </w:r>
            <w:r w:rsidR="000C6DE2">
              <w:rPr>
                <w:rFonts w:ascii="Times New Roman" w:eastAsia="Times New Roman" w:hAnsi="Times New Roman" w:cs="Times New Roman"/>
                <w:sz w:val="24"/>
                <w:szCs w:val="24"/>
                <w:lang w:eastAsia="lv-LV"/>
              </w:rPr>
              <w:t xml:space="preserve">(turpmāk – noteikumi) </w:t>
            </w:r>
            <w:r>
              <w:rPr>
                <w:rFonts w:ascii="Times New Roman" w:eastAsia="Times New Roman" w:hAnsi="Times New Roman" w:cs="Times New Roman"/>
                <w:sz w:val="24"/>
                <w:szCs w:val="24"/>
                <w:lang w:eastAsia="lv-LV"/>
              </w:rPr>
              <w:t>izstrādāts pēc Veselības ministrijas iniciatīvas.</w:t>
            </w:r>
          </w:p>
        </w:tc>
      </w:tr>
      <w:tr w:rsidR="007723BA" w:rsidRPr="00C918F0" w14:paraId="56F9F85E" w14:textId="77777777" w:rsidTr="009E0A53">
        <w:trPr>
          <w:trHeight w:val="372"/>
        </w:trPr>
        <w:tc>
          <w:tcPr>
            <w:tcW w:w="126" w:type="pct"/>
            <w:tcBorders>
              <w:top w:val="outset" w:sz="6" w:space="0" w:color="414142"/>
              <w:left w:val="outset" w:sz="6" w:space="0" w:color="414142"/>
              <w:bottom w:val="outset" w:sz="6" w:space="0" w:color="414142"/>
              <w:right w:val="outset" w:sz="6" w:space="0" w:color="414142"/>
            </w:tcBorders>
            <w:hideMark/>
          </w:tcPr>
          <w:p w14:paraId="7E9398B9" w14:textId="77777777" w:rsidR="007723BA" w:rsidRPr="00C918F0" w:rsidRDefault="007723BA" w:rsidP="0063062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2.</w:t>
            </w:r>
          </w:p>
        </w:tc>
        <w:tc>
          <w:tcPr>
            <w:tcW w:w="961" w:type="pct"/>
            <w:tcBorders>
              <w:top w:val="outset" w:sz="6" w:space="0" w:color="414142"/>
              <w:left w:val="outset" w:sz="6" w:space="0" w:color="414142"/>
              <w:bottom w:val="outset" w:sz="6" w:space="0" w:color="414142"/>
              <w:right w:val="outset" w:sz="6" w:space="0" w:color="414142"/>
            </w:tcBorders>
            <w:hideMark/>
          </w:tcPr>
          <w:p w14:paraId="7F56FED2" w14:textId="77777777" w:rsidR="007723BA" w:rsidRDefault="007723BA" w:rsidP="00630627">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477AAF35" w14:textId="77777777" w:rsidR="007723BA" w:rsidRPr="009726BC" w:rsidRDefault="007723BA" w:rsidP="00630627">
            <w:pPr>
              <w:rPr>
                <w:rFonts w:ascii="Times New Roman" w:eastAsia="Times New Roman" w:hAnsi="Times New Roman" w:cs="Times New Roman"/>
                <w:sz w:val="24"/>
                <w:szCs w:val="24"/>
                <w:lang w:eastAsia="lv-LV"/>
              </w:rPr>
            </w:pPr>
          </w:p>
          <w:p w14:paraId="48A053E7" w14:textId="77777777" w:rsidR="007723BA" w:rsidRPr="009726BC" w:rsidRDefault="007723BA" w:rsidP="00630627">
            <w:pPr>
              <w:rPr>
                <w:rFonts w:ascii="Times New Roman" w:eastAsia="Times New Roman" w:hAnsi="Times New Roman" w:cs="Times New Roman"/>
                <w:sz w:val="24"/>
                <w:szCs w:val="24"/>
                <w:lang w:eastAsia="lv-LV"/>
              </w:rPr>
            </w:pPr>
          </w:p>
          <w:p w14:paraId="2F648388" w14:textId="77777777" w:rsidR="007723BA" w:rsidRPr="009726BC" w:rsidRDefault="007723BA" w:rsidP="00630627">
            <w:pPr>
              <w:rPr>
                <w:rFonts w:ascii="Times New Roman" w:eastAsia="Times New Roman" w:hAnsi="Times New Roman" w:cs="Times New Roman"/>
                <w:sz w:val="24"/>
                <w:szCs w:val="24"/>
                <w:lang w:eastAsia="lv-LV"/>
              </w:rPr>
            </w:pPr>
          </w:p>
        </w:tc>
        <w:tc>
          <w:tcPr>
            <w:tcW w:w="3913" w:type="pct"/>
            <w:tcBorders>
              <w:top w:val="outset" w:sz="6" w:space="0" w:color="414142"/>
              <w:left w:val="outset" w:sz="6" w:space="0" w:color="414142"/>
              <w:bottom w:val="outset" w:sz="6" w:space="0" w:color="414142"/>
              <w:right w:val="outset" w:sz="6" w:space="0" w:color="414142"/>
            </w:tcBorders>
          </w:tcPr>
          <w:p w14:paraId="54CAFD5D" w14:textId="228A6B49" w:rsidR="00EC3079" w:rsidRPr="00953506" w:rsidRDefault="00E15CBC" w:rsidP="00515469">
            <w:pPr>
              <w:autoSpaceDE w:val="0"/>
              <w:autoSpaceDN w:val="0"/>
              <w:adjustRightInd w:val="0"/>
              <w:spacing w:after="0" w:line="240" w:lineRule="auto"/>
              <w:jc w:val="both"/>
              <w:rPr>
                <w:rFonts w:ascii="Times New Roman" w:hAnsi="Times New Roman" w:cs="Times New Roman"/>
                <w:color w:val="000000"/>
                <w:sz w:val="24"/>
                <w:szCs w:val="24"/>
              </w:rPr>
            </w:pPr>
            <w:r w:rsidRPr="009E1D14">
              <w:rPr>
                <w:rFonts w:ascii="Times New Roman" w:hAnsi="Times New Roman" w:cs="Times New Roman"/>
                <w:iCs/>
                <w:color w:val="000000"/>
                <w:sz w:val="24"/>
                <w:szCs w:val="24"/>
              </w:rPr>
              <w:t>1</w:t>
            </w:r>
            <w:r w:rsidR="000D5765">
              <w:rPr>
                <w:rFonts w:ascii="Times New Roman" w:hAnsi="Times New Roman" w:cs="Times New Roman"/>
                <w:iCs/>
                <w:color w:val="000000"/>
                <w:sz w:val="24"/>
                <w:szCs w:val="24"/>
              </w:rPr>
              <w:t xml:space="preserve">. </w:t>
            </w:r>
            <w:r w:rsidR="00953506">
              <w:rPr>
                <w:rFonts w:ascii="Times New Roman" w:hAnsi="Times New Roman" w:cs="Times New Roman"/>
                <w:sz w:val="24"/>
                <w:szCs w:val="24"/>
              </w:rPr>
              <w:t>N</w:t>
            </w:r>
            <w:r w:rsidR="00C52BB1" w:rsidRPr="009E1D14">
              <w:rPr>
                <w:rFonts w:ascii="Times New Roman" w:hAnsi="Times New Roman" w:cs="Times New Roman"/>
                <w:sz w:val="24"/>
                <w:szCs w:val="24"/>
              </w:rPr>
              <w:t>epieciešams papildināt Ministru kabineta 2019.gada 10.decembra noteikumu Nr. 641 “Zāļu valsts aģentūras maksas pakalpojumu cenrādis”</w:t>
            </w:r>
            <w:r w:rsidR="0049592B" w:rsidRPr="009E1D14">
              <w:rPr>
                <w:rFonts w:ascii="Times New Roman" w:hAnsi="Times New Roman" w:cs="Times New Roman"/>
                <w:sz w:val="24"/>
                <w:szCs w:val="24"/>
              </w:rPr>
              <w:t xml:space="preserve"> (turpmāk - Cenrādis)</w:t>
            </w:r>
            <w:r w:rsidR="00C52BB1" w:rsidRPr="009E1D14">
              <w:rPr>
                <w:rFonts w:ascii="Times New Roman" w:hAnsi="Times New Roman" w:cs="Times New Roman"/>
                <w:sz w:val="24"/>
                <w:szCs w:val="24"/>
              </w:rPr>
              <w:t xml:space="preserve"> pielikuma 1.1.ap</w:t>
            </w:r>
            <w:r w:rsidR="006217C3" w:rsidRPr="009E1D14">
              <w:rPr>
                <w:rFonts w:ascii="Times New Roman" w:hAnsi="Times New Roman" w:cs="Times New Roman"/>
                <w:sz w:val="24"/>
                <w:szCs w:val="24"/>
              </w:rPr>
              <w:t>akš</w:t>
            </w:r>
            <w:r w:rsidR="00C52BB1" w:rsidRPr="009E1D14">
              <w:rPr>
                <w:rFonts w:ascii="Times New Roman" w:hAnsi="Times New Roman" w:cs="Times New Roman"/>
                <w:sz w:val="24"/>
                <w:szCs w:val="24"/>
              </w:rPr>
              <w:t>punktu</w:t>
            </w:r>
            <w:r w:rsidRPr="009E1D14">
              <w:rPr>
                <w:rFonts w:ascii="Times New Roman" w:hAnsi="Times New Roman" w:cs="Times New Roman"/>
                <w:sz w:val="24"/>
                <w:szCs w:val="24"/>
              </w:rPr>
              <w:t>, paredzot maksas pakalpojuma veidu - Zāļu reģistrācijas iesnieguma un pievienotās dokumentācijas ekspertīze – arī iesniegumam zālēm ar zināmu aktīvo vielu</w:t>
            </w:r>
            <w:r w:rsidR="00BC60D1" w:rsidRPr="009E1D14">
              <w:rPr>
                <w:rFonts w:ascii="Times New Roman" w:hAnsi="Times New Roman" w:cs="Times New Roman"/>
                <w:sz w:val="24"/>
                <w:szCs w:val="24"/>
              </w:rPr>
              <w:t xml:space="preserve"> (</w:t>
            </w:r>
            <w:r w:rsidR="00BC60D1" w:rsidRPr="009E1D14">
              <w:rPr>
                <w:rFonts w:ascii="Times New Roman" w:hAnsi="Times New Roman" w:cs="Times New Roman"/>
                <w:iCs/>
                <w:color w:val="000000"/>
                <w:sz w:val="24"/>
                <w:szCs w:val="24"/>
              </w:rPr>
              <w:t>arī spēku zaudējušo Ministru kabineta 2013.gada 17.septembra noteikumu Nr. 873 “</w:t>
            </w:r>
            <w:r w:rsidR="00BC60D1" w:rsidRPr="009E1D14">
              <w:rPr>
                <w:rFonts w:ascii="Times New Roman" w:hAnsi="Times New Roman" w:cs="Times New Roman"/>
                <w:sz w:val="24"/>
                <w:szCs w:val="24"/>
              </w:rPr>
              <w:t>Zāļu valsts aģentūras maksas pakalpojumu cenrādis” pielikuma 1.1.2.apakšpunkts  noteica iesnieguma un pievienotās dokumentācijas ekspertīzi zāļu reģistrācijai ar zināmu aktīvo vielu).</w:t>
            </w:r>
          </w:p>
          <w:p w14:paraId="23943F49" w14:textId="46054F96" w:rsidR="00515469" w:rsidRPr="009E1D14" w:rsidRDefault="00515469" w:rsidP="00515469">
            <w:pPr>
              <w:autoSpaceDE w:val="0"/>
              <w:autoSpaceDN w:val="0"/>
              <w:adjustRightInd w:val="0"/>
              <w:spacing w:after="0" w:line="240" w:lineRule="auto"/>
              <w:jc w:val="both"/>
              <w:rPr>
                <w:rFonts w:ascii="Times New Roman" w:hAnsi="Times New Roman" w:cs="Times New Roman"/>
                <w:iCs/>
                <w:color w:val="000000"/>
                <w:sz w:val="24"/>
                <w:szCs w:val="24"/>
              </w:rPr>
            </w:pPr>
            <w:r w:rsidRPr="009E1D14">
              <w:rPr>
                <w:rFonts w:ascii="Times New Roman" w:hAnsi="Times New Roman" w:cs="Times New Roman"/>
                <w:iCs/>
                <w:color w:val="000000"/>
                <w:sz w:val="24"/>
                <w:szCs w:val="24"/>
              </w:rPr>
              <w:t>No klīniskās puses dokumentācijas saturs un ekspertīzes apjoms zāļu reģistrācijas iesniegumam ar jaunu vai zināmu aktīvo vielu nemainās - ir jāizvērtē iesniegtie neklīniskie un klīniskie pētījumi.</w:t>
            </w:r>
          </w:p>
          <w:p w14:paraId="094CA725" w14:textId="183D2D91" w:rsidR="00515469" w:rsidRDefault="00515469" w:rsidP="00515469">
            <w:pPr>
              <w:autoSpaceDE w:val="0"/>
              <w:autoSpaceDN w:val="0"/>
              <w:adjustRightInd w:val="0"/>
              <w:spacing w:after="0" w:line="240" w:lineRule="auto"/>
              <w:jc w:val="both"/>
              <w:rPr>
                <w:rFonts w:ascii="Times New Roman" w:hAnsi="Times New Roman" w:cs="Times New Roman"/>
                <w:iCs/>
                <w:color w:val="000000"/>
                <w:sz w:val="24"/>
                <w:szCs w:val="24"/>
              </w:rPr>
            </w:pPr>
            <w:r w:rsidRPr="009E1D14">
              <w:rPr>
                <w:rFonts w:ascii="Times New Roman" w:hAnsi="Times New Roman" w:cs="Times New Roman"/>
                <w:iCs/>
                <w:color w:val="000000"/>
                <w:sz w:val="24"/>
                <w:szCs w:val="24"/>
              </w:rPr>
              <w:t>Tā kā zāļu reģistrācija ar jaunu aktīvo vielu nacionālajā procedūrā ir ļoti reti gadījumi, tad, padarot Cenrādi pārskatāmāku un pakalpojumu apmaksu vieglāk administrējamu, zāļu reģistrācijas iesnieguma un pievienotās dokumentācijas ekspertīze zālēm ar jaunu vai jau zināmu aktīvo vielu izteikt</w:t>
            </w:r>
            <w:r w:rsidR="000C6DE2" w:rsidRPr="009E1D14">
              <w:rPr>
                <w:rFonts w:ascii="Times New Roman" w:hAnsi="Times New Roman" w:cs="Times New Roman"/>
                <w:iCs/>
                <w:color w:val="000000"/>
                <w:sz w:val="24"/>
                <w:szCs w:val="24"/>
              </w:rPr>
              <w:t>s</w:t>
            </w:r>
            <w:r w:rsidRPr="009E1D14">
              <w:rPr>
                <w:rFonts w:ascii="Times New Roman" w:hAnsi="Times New Roman" w:cs="Times New Roman"/>
                <w:iCs/>
                <w:color w:val="000000"/>
                <w:sz w:val="24"/>
                <w:szCs w:val="24"/>
              </w:rPr>
              <w:t xml:space="preserve"> kā viens maksas pakalpojums</w:t>
            </w:r>
            <w:r w:rsidR="008272D6" w:rsidRPr="009E1D14">
              <w:rPr>
                <w:rFonts w:ascii="Times New Roman" w:hAnsi="Times New Roman" w:cs="Times New Roman"/>
                <w:iCs/>
                <w:color w:val="000000"/>
                <w:sz w:val="24"/>
                <w:szCs w:val="24"/>
              </w:rPr>
              <w:t xml:space="preserve"> (noteikumu 1.</w:t>
            </w:r>
            <w:r w:rsidR="008A0923" w:rsidRPr="009E1D14">
              <w:rPr>
                <w:rFonts w:ascii="Times New Roman" w:hAnsi="Times New Roman" w:cs="Times New Roman"/>
                <w:iCs/>
                <w:color w:val="000000"/>
                <w:sz w:val="24"/>
                <w:szCs w:val="24"/>
              </w:rPr>
              <w:t>5</w:t>
            </w:r>
            <w:r w:rsidR="008272D6" w:rsidRPr="009E1D14">
              <w:rPr>
                <w:rFonts w:ascii="Times New Roman" w:hAnsi="Times New Roman" w:cs="Times New Roman"/>
                <w:iCs/>
                <w:color w:val="000000"/>
                <w:sz w:val="24"/>
                <w:szCs w:val="24"/>
              </w:rPr>
              <w:t>.apakšpunkts)</w:t>
            </w:r>
            <w:r w:rsidRPr="009E1D14">
              <w:rPr>
                <w:rFonts w:ascii="Times New Roman" w:hAnsi="Times New Roman" w:cs="Times New Roman"/>
                <w:iCs/>
                <w:color w:val="000000"/>
                <w:sz w:val="24"/>
                <w:szCs w:val="24"/>
              </w:rPr>
              <w:t>.</w:t>
            </w:r>
          </w:p>
          <w:p w14:paraId="7E09D443" w14:textId="77777777" w:rsidR="009E0A53" w:rsidRDefault="009E0A53" w:rsidP="00515469">
            <w:pPr>
              <w:autoSpaceDE w:val="0"/>
              <w:autoSpaceDN w:val="0"/>
              <w:adjustRightInd w:val="0"/>
              <w:spacing w:after="0" w:line="240" w:lineRule="auto"/>
              <w:jc w:val="both"/>
              <w:rPr>
                <w:rFonts w:ascii="Times New Roman" w:hAnsi="Times New Roman" w:cs="Times New Roman"/>
                <w:iCs/>
                <w:color w:val="000000"/>
                <w:sz w:val="24"/>
                <w:szCs w:val="24"/>
              </w:rPr>
            </w:pPr>
          </w:p>
          <w:p w14:paraId="3063EA64" w14:textId="2A474AB8" w:rsidR="009E0A53" w:rsidRDefault="009E0A53" w:rsidP="009E0A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Šobrīd Cenrāža </w:t>
            </w:r>
            <w:r w:rsidRPr="00DC0711">
              <w:rPr>
                <w:rFonts w:ascii="Times New Roman" w:hAnsi="Times New Roman" w:cs="Times New Roman"/>
                <w:sz w:val="24"/>
                <w:szCs w:val="24"/>
              </w:rPr>
              <w:t>10.</w:t>
            </w:r>
            <w:r>
              <w:rPr>
                <w:rFonts w:ascii="Times New Roman" w:hAnsi="Times New Roman" w:cs="Times New Roman"/>
                <w:sz w:val="24"/>
                <w:szCs w:val="24"/>
              </w:rPr>
              <w:t>punkts nosaka, ka</w:t>
            </w:r>
            <w:r w:rsidRPr="00DC0711">
              <w:rPr>
                <w:rFonts w:ascii="Times New Roman" w:hAnsi="Times New Roman" w:cs="Times New Roman"/>
                <w:sz w:val="24"/>
                <w:szCs w:val="24"/>
              </w:rPr>
              <w:t> Aģentūra nacionālajā reģistrācijas, savstarpējās atzīšanas vai decentralizētajā reģistrācijas procedūrā reģistrētajām zālēm, kuras izplatītas Latvijā, piemēro atlaidi 100 % apmērā no noteiktās zāļu pēcreģistrācijas uzturēšanas gada maksas, ja ir spēkā viens no šādiem nosacījumiem:</w:t>
            </w:r>
            <w:r>
              <w:rPr>
                <w:rFonts w:ascii="Times New Roman" w:hAnsi="Times New Roman" w:cs="Times New Roman"/>
                <w:sz w:val="24"/>
                <w:szCs w:val="24"/>
              </w:rPr>
              <w:t xml:space="preserve"> 1) </w:t>
            </w:r>
            <w:r w:rsidRPr="00DC0711">
              <w:rPr>
                <w:rFonts w:ascii="Times New Roman" w:hAnsi="Times New Roman" w:cs="Times New Roman"/>
                <w:sz w:val="24"/>
                <w:szCs w:val="24"/>
              </w:rPr>
              <w:t>apgrozījums iepriekšējā gadā nav pārsniedzis 3</w:t>
            </w:r>
            <w:r>
              <w:rPr>
                <w:rFonts w:ascii="Times New Roman" w:hAnsi="Times New Roman" w:cs="Times New Roman"/>
                <w:sz w:val="24"/>
                <w:szCs w:val="24"/>
              </w:rPr>
              <w:t xml:space="preserve"> </w:t>
            </w:r>
            <w:r w:rsidRPr="00DC0711">
              <w:rPr>
                <w:rFonts w:ascii="Times New Roman" w:hAnsi="Times New Roman" w:cs="Times New Roman"/>
                <w:sz w:val="24"/>
                <w:szCs w:val="24"/>
              </w:rPr>
              <w:t>000 </w:t>
            </w:r>
            <w:r w:rsidRPr="00DC0711">
              <w:rPr>
                <w:rFonts w:ascii="Times New Roman" w:hAnsi="Times New Roman" w:cs="Times New Roman"/>
                <w:i/>
                <w:iCs/>
                <w:sz w:val="24"/>
                <w:szCs w:val="24"/>
              </w:rPr>
              <w:t>euro</w:t>
            </w:r>
            <w:r w:rsidRPr="00DC0711">
              <w:rPr>
                <w:rFonts w:ascii="Times New Roman" w:hAnsi="Times New Roman" w:cs="Times New Roman"/>
                <w:sz w:val="24"/>
                <w:szCs w:val="24"/>
              </w:rPr>
              <w:t>;</w:t>
            </w:r>
            <w:r>
              <w:rPr>
                <w:rFonts w:ascii="Times New Roman" w:hAnsi="Times New Roman" w:cs="Times New Roman"/>
                <w:sz w:val="24"/>
                <w:szCs w:val="24"/>
              </w:rPr>
              <w:t xml:space="preserve"> 2) </w:t>
            </w:r>
            <w:r w:rsidRPr="00DC0711">
              <w:rPr>
                <w:rFonts w:ascii="Times New Roman" w:hAnsi="Times New Roman" w:cs="Times New Roman"/>
                <w:sz w:val="24"/>
                <w:szCs w:val="24"/>
              </w:rPr>
              <w:t>realizācijas apjoms iepriekšējā gadā nepārsniedz 49 zāļu iepakojumus.</w:t>
            </w:r>
          </w:p>
          <w:p w14:paraId="0423BB06" w14:textId="77777777" w:rsidR="009E0A53" w:rsidRDefault="009E0A53" w:rsidP="009E0A53">
            <w:pPr>
              <w:autoSpaceDE w:val="0"/>
              <w:autoSpaceDN w:val="0"/>
              <w:adjustRightInd w:val="0"/>
              <w:spacing w:after="0" w:line="240" w:lineRule="auto"/>
              <w:jc w:val="both"/>
              <w:rPr>
                <w:rFonts w:ascii="Times New Roman" w:hAnsi="Times New Roman" w:cs="Times New Roman"/>
                <w:sz w:val="24"/>
                <w:szCs w:val="24"/>
              </w:rPr>
            </w:pPr>
            <w:r w:rsidRPr="009E1D14">
              <w:rPr>
                <w:rFonts w:ascii="Times New Roman" w:hAnsi="Times New Roman" w:cs="Times New Roman"/>
                <w:sz w:val="24"/>
                <w:szCs w:val="24"/>
              </w:rPr>
              <w:lastRenderedPageBreak/>
              <w:t>Gan Farmācijas likums, gan Ministru kabineta 2012.gada 31.jūlija noteikumi Nr. 537 “Zāļu valsts aģentūras nolikums” nosaka Zāļu valsts aģentūras</w:t>
            </w:r>
            <w:r>
              <w:rPr>
                <w:rFonts w:ascii="Times New Roman" w:hAnsi="Times New Roman" w:cs="Times New Roman"/>
                <w:sz w:val="24"/>
                <w:szCs w:val="24"/>
              </w:rPr>
              <w:t xml:space="preserve"> (turpmāk – Aģentūra)</w:t>
            </w:r>
            <w:r w:rsidRPr="009E1D14">
              <w:rPr>
                <w:rFonts w:ascii="Times New Roman" w:hAnsi="Times New Roman" w:cs="Times New Roman"/>
                <w:sz w:val="24"/>
                <w:szCs w:val="24"/>
              </w:rPr>
              <w:t xml:space="preserve"> kompetenci regulāri apkopot un izplatīt informāciju par zāļu patēriņu. Vienlaikus aģentūras funkcijās ietilpst sniegt informāciju par zāļu pieejamības analīzei nepieciešamajiem zāļu (izņemot veterinārās zāles) vairumtirdzniecības realizācijas datiem. </w:t>
            </w:r>
          </w:p>
          <w:p w14:paraId="69CA8D99" w14:textId="77777777" w:rsidR="009E0A53" w:rsidRPr="009E1D14" w:rsidRDefault="009E0A53" w:rsidP="009E0A53">
            <w:pPr>
              <w:autoSpaceDE w:val="0"/>
              <w:autoSpaceDN w:val="0"/>
              <w:adjustRightInd w:val="0"/>
              <w:spacing w:after="0" w:line="240" w:lineRule="auto"/>
              <w:jc w:val="both"/>
              <w:rPr>
                <w:rFonts w:ascii="Times New Roman" w:eastAsiaTheme="minorHAnsi" w:hAnsi="Times New Roman" w:cs="Times New Roman"/>
                <w:sz w:val="24"/>
                <w:szCs w:val="24"/>
              </w:rPr>
            </w:pPr>
            <w:r w:rsidRPr="009E1D14">
              <w:rPr>
                <w:rFonts w:ascii="Times New Roman" w:hAnsi="Times New Roman" w:cs="Times New Roman"/>
                <w:sz w:val="24"/>
                <w:szCs w:val="24"/>
              </w:rPr>
              <w:t>Līdz ar to, lai</w:t>
            </w:r>
            <w:r w:rsidRPr="00976BB5">
              <w:rPr>
                <w:rFonts w:ascii="Times New Roman" w:hAnsi="Times New Roman" w:cs="Times New Roman"/>
                <w:sz w:val="24"/>
                <w:szCs w:val="24"/>
              </w:rPr>
              <w:t xml:space="preserve"> nodrošinātu pacientu vajadzības,</w:t>
            </w:r>
            <w:r w:rsidRPr="00242C7A">
              <w:t xml:space="preserve"> </w:t>
            </w:r>
            <w:r w:rsidRPr="00242C7A">
              <w:rPr>
                <w:rFonts w:ascii="Times New Roman" w:hAnsi="Times New Roman" w:cs="Times New Roman"/>
                <w:sz w:val="24"/>
                <w:szCs w:val="24"/>
              </w:rPr>
              <w:t>pastāvīgi garantē</w:t>
            </w:r>
            <w:r>
              <w:rPr>
                <w:rFonts w:ascii="Times New Roman" w:hAnsi="Times New Roman" w:cs="Times New Roman"/>
                <w:sz w:val="24"/>
                <w:szCs w:val="24"/>
              </w:rPr>
              <w:t>jot</w:t>
            </w:r>
            <w:r w:rsidRPr="00242C7A">
              <w:rPr>
                <w:rFonts w:ascii="Times New Roman" w:hAnsi="Times New Roman" w:cs="Times New Roman"/>
                <w:sz w:val="24"/>
                <w:szCs w:val="24"/>
              </w:rPr>
              <w:t xml:space="preserve"> pietiekama zāļu klāsta pieejamību</w:t>
            </w:r>
            <w:r w:rsidRPr="009E1D14">
              <w:rPr>
                <w:rFonts w:ascii="Times New Roman" w:hAnsi="Times New Roman" w:cs="Times New Roman"/>
                <w:sz w:val="24"/>
                <w:szCs w:val="24"/>
              </w:rPr>
              <w:t xml:space="preserve">, kā arī varētu veikt precīzāku farmācijas tirgus monitoringu, kas veicinātu gan zāļu cenu analīzi, gan analīzi par </w:t>
            </w:r>
            <w:r>
              <w:rPr>
                <w:rFonts w:ascii="Times New Roman" w:hAnsi="Times New Roman" w:cs="Times New Roman"/>
                <w:sz w:val="24"/>
                <w:szCs w:val="24"/>
              </w:rPr>
              <w:t xml:space="preserve">zāļu </w:t>
            </w:r>
            <w:r w:rsidRPr="009E1D14">
              <w:rPr>
                <w:rFonts w:ascii="Times New Roman" w:hAnsi="Times New Roman" w:cs="Times New Roman"/>
                <w:sz w:val="24"/>
                <w:szCs w:val="24"/>
              </w:rPr>
              <w:t>izmaiņu tendencēm, nepieciešams veikt grozījumu Cenrāža 10.punktā (noteikumu 1.2.apakšpunkts), nosakot, ka zāļu pēcreģistrācijas uzturēšanas gada maksas atbrīvojumu piemēro</w:t>
            </w:r>
            <w:r>
              <w:rPr>
                <w:rFonts w:ascii="Times New Roman" w:hAnsi="Times New Roman" w:cs="Times New Roman"/>
                <w:sz w:val="24"/>
                <w:szCs w:val="24"/>
              </w:rPr>
              <w:t xml:space="preserve"> </w:t>
            </w:r>
            <w:r w:rsidRPr="009E1D14">
              <w:rPr>
                <w:rFonts w:ascii="Times New Roman" w:hAnsi="Times New Roman" w:cs="Times New Roman"/>
                <w:sz w:val="24"/>
                <w:szCs w:val="24"/>
              </w:rPr>
              <w:t xml:space="preserve">zālēm, kas izplatītas </w:t>
            </w:r>
            <w:r w:rsidRPr="009E1D14">
              <w:rPr>
                <w:rFonts w:ascii="Times New Roman" w:eastAsiaTheme="minorHAnsi" w:hAnsi="Times New Roman" w:cs="Times New Roman"/>
                <w:sz w:val="24"/>
                <w:szCs w:val="24"/>
              </w:rPr>
              <w:t>aptiekā</w:t>
            </w:r>
            <w:r>
              <w:rPr>
                <w:rFonts w:ascii="Times New Roman" w:eastAsiaTheme="minorHAnsi" w:hAnsi="Times New Roman" w:cs="Times New Roman"/>
                <w:sz w:val="24"/>
                <w:szCs w:val="24"/>
              </w:rPr>
              <w:t xml:space="preserve"> vai </w:t>
            </w:r>
            <w:r w:rsidRPr="009E1D14">
              <w:rPr>
                <w:rFonts w:ascii="Times New Roman" w:eastAsiaTheme="minorHAnsi" w:hAnsi="Times New Roman" w:cs="Times New Roman"/>
                <w:sz w:val="24"/>
                <w:szCs w:val="24"/>
              </w:rPr>
              <w:t>ārstniecības iestādē.</w:t>
            </w:r>
          </w:p>
          <w:p w14:paraId="01661AEA" w14:textId="452332BD" w:rsidR="00953506" w:rsidRDefault="00953506" w:rsidP="00515469">
            <w:pPr>
              <w:autoSpaceDE w:val="0"/>
              <w:autoSpaceDN w:val="0"/>
              <w:adjustRightInd w:val="0"/>
              <w:spacing w:after="0" w:line="240" w:lineRule="auto"/>
              <w:jc w:val="both"/>
              <w:rPr>
                <w:rFonts w:ascii="Times New Roman" w:hAnsi="Times New Roman" w:cs="Times New Roman"/>
                <w:iCs/>
                <w:color w:val="000000"/>
                <w:sz w:val="24"/>
                <w:szCs w:val="24"/>
              </w:rPr>
            </w:pPr>
          </w:p>
          <w:p w14:paraId="26773D2A" w14:textId="7F6004F0" w:rsidR="00953506" w:rsidRDefault="009E0A53" w:rsidP="0095350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rPr>
              <w:t>3</w:t>
            </w:r>
            <w:r w:rsidR="00953506">
              <w:rPr>
                <w:rFonts w:ascii="Times New Roman" w:hAnsi="Times New Roman" w:cs="Times New Roman"/>
                <w:iCs/>
                <w:color w:val="000000"/>
                <w:sz w:val="24"/>
                <w:szCs w:val="24"/>
              </w:rPr>
              <w:t xml:space="preserve">. </w:t>
            </w:r>
            <w:r w:rsidR="00953506" w:rsidRPr="009E1D14">
              <w:rPr>
                <w:rFonts w:ascii="Times New Roman" w:hAnsi="Times New Roman" w:cs="Times New Roman"/>
                <w:color w:val="000000"/>
                <w:sz w:val="24"/>
                <w:szCs w:val="24"/>
              </w:rPr>
              <w:t xml:space="preserve">Saskaņā ar Ministru kabineta 2010.gada 23.marta noteikumu Nr. 289 "Noteikumi par zāļu klīniskās izpētes un lietošanas novērojumu veikšanas kārtību, pētāmo zāļu marķēšanu un kārtību, kādā tiek vērtēta zāļu klīniskās izpētes atbilstība labas klīniskās prakses prasībām" (turpmāk - Noteikumi Nr. 289) 129.punktu "pirms zāļu lietošanas novērojuma uzsākšanas ārsts vai zāļu ražotāja pārstāvis, kas ir atbildīgs par novērojuma koordinēšanu, iesniedz </w:t>
            </w:r>
            <w:r w:rsidR="00953506">
              <w:rPr>
                <w:rFonts w:ascii="Times New Roman" w:hAnsi="Times New Roman" w:cs="Times New Roman"/>
                <w:color w:val="000000"/>
                <w:sz w:val="24"/>
                <w:szCs w:val="24"/>
              </w:rPr>
              <w:t>A</w:t>
            </w:r>
            <w:r w:rsidR="00953506" w:rsidRPr="009E1D14">
              <w:rPr>
                <w:rFonts w:ascii="Times New Roman" w:hAnsi="Times New Roman" w:cs="Times New Roman"/>
                <w:color w:val="000000"/>
                <w:sz w:val="24"/>
                <w:szCs w:val="24"/>
              </w:rPr>
              <w:t xml:space="preserve">ģentūrā un ētikas komitejā  nepieciešamos dokumentus". Noteikumu Nr. 289 130.punkts nosaka, ka iesniedzējs saskaņā ar </w:t>
            </w:r>
            <w:r w:rsidR="00953506">
              <w:rPr>
                <w:rFonts w:ascii="Times New Roman" w:hAnsi="Times New Roman" w:cs="Times New Roman"/>
                <w:color w:val="000000"/>
                <w:sz w:val="24"/>
                <w:szCs w:val="24"/>
              </w:rPr>
              <w:t>A</w:t>
            </w:r>
            <w:r w:rsidR="00953506" w:rsidRPr="009E1D14">
              <w:rPr>
                <w:rFonts w:ascii="Times New Roman" w:hAnsi="Times New Roman" w:cs="Times New Roman"/>
                <w:color w:val="000000"/>
                <w:sz w:val="24"/>
                <w:szCs w:val="24"/>
              </w:rPr>
              <w:t>ģentūras maksas pakalpojumu cenrādi sedz izdevumus, kas saistīti ar zāļu lietošanas novērojuma iesnieguma izskatīšanu. Lai veicinātu medicīnas (biomedicīnas) zinātnes attīstību, grozījumi tostarp paredz maksas pakalpojuma 90% atlaidi, ja nekomerciālu</w:t>
            </w:r>
            <w:r w:rsidR="00953506" w:rsidRPr="009E1D14">
              <w:rPr>
                <w:rFonts w:ascii="Tms Rmn" w:hAnsi="Tms Rmn" w:cs="Tms Rmn"/>
                <w:color w:val="000000"/>
                <w:sz w:val="24"/>
                <w:szCs w:val="24"/>
              </w:rPr>
              <w:t xml:space="preserve"> zāļu klīniskās izpētes dokumentācijas būtisko grozījumu iesniegšanu un</w:t>
            </w:r>
            <w:r w:rsidR="00953506" w:rsidRPr="009E1D14">
              <w:rPr>
                <w:rFonts w:ascii="Times New Roman" w:hAnsi="Times New Roman" w:cs="Times New Roman"/>
                <w:color w:val="000000"/>
                <w:sz w:val="24"/>
                <w:szCs w:val="24"/>
              </w:rPr>
              <w:t xml:space="preserve"> zāļu lietošanas novērojumu veic neatkarīgas ekspertu grupas, akadēmiskās vai zinātniskas institūcijas, ārstu profesionālās asociācijas vai individuāli pētnieki (noteikumu 1.3.apakšpunkts).</w:t>
            </w:r>
          </w:p>
          <w:p w14:paraId="6183954C" w14:textId="10036D36" w:rsidR="00EE5222" w:rsidRPr="009E1D14" w:rsidRDefault="00EE5222" w:rsidP="00515469">
            <w:pPr>
              <w:autoSpaceDE w:val="0"/>
              <w:autoSpaceDN w:val="0"/>
              <w:adjustRightInd w:val="0"/>
              <w:spacing w:after="0" w:line="240" w:lineRule="auto"/>
              <w:jc w:val="both"/>
              <w:rPr>
                <w:rFonts w:ascii="Times New Roman" w:hAnsi="Times New Roman" w:cs="Times New Roman"/>
                <w:iCs/>
                <w:color w:val="000000"/>
                <w:sz w:val="24"/>
                <w:szCs w:val="24"/>
              </w:rPr>
            </w:pPr>
          </w:p>
          <w:p w14:paraId="10B5FFD7" w14:textId="683C571A" w:rsidR="000311F1" w:rsidRPr="009E1D14" w:rsidRDefault="000D5765" w:rsidP="009E1D14">
            <w:pPr>
              <w:pStyle w:val="Heading3"/>
              <w:spacing w:before="0" w:line="240" w:lineRule="auto"/>
              <w:jc w:val="both"/>
              <w:rPr>
                <w:rFonts w:ascii="Times New Roman" w:hAnsi="Times New Roman" w:cs="Times New Roman"/>
                <w:color w:val="000000"/>
              </w:rPr>
            </w:pPr>
            <w:r>
              <w:rPr>
                <w:rFonts w:ascii="Times New Roman" w:hAnsi="Times New Roman" w:cs="Times New Roman"/>
                <w:color w:val="000000"/>
              </w:rPr>
              <w:t>4</w:t>
            </w:r>
            <w:r w:rsidR="00057B56" w:rsidRPr="009E1D14">
              <w:rPr>
                <w:rFonts w:ascii="Times New Roman" w:hAnsi="Times New Roman" w:cs="Times New Roman"/>
                <w:color w:val="000000"/>
              </w:rPr>
              <w:t xml:space="preserve">. </w:t>
            </w:r>
            <w:r w:rsidR="00057B56" w:rsidRPr="009E1D14">
              <w:rPr>
                <w:rFonts w:ascii="Times New Roman" w:eastAsia="Times New Roman" w:hAnsi="Times New Roman" w:cs="Times New Roman"/>
                <w:color w:val="000000" w:themeColor="text1"/>
                <w:lang w:eastAsia="lv-LV"/>
              </w:rPr>
              <w:t>Grozījumi likumā "</w:t>
            </w:r>
            <w:hyperlink r:id="rId7" w:tgtFrame="_blank" w:history="1">
              <w:r w:rsidR="00057B56" w:rsidRPr="009E1D14">
                <w:rPr>
                  <w:rFonts w:ascii="Times New Roman" w:eastAsia="Times New Roman" w:hAnsi="Times New Roman" w:cs="Times New Roman"/>
                  <w:color w:val="000000" w:themeColor="text1"/>
                  <w:lang w:eastAsia="lv-LV"/>
                </w:rPr>
                <w:t>Par miruša cilvēka ķermeņa aizsardzību un cilvēka audu un orgānu izmantošanu medicīnā</w:t>
              </w:r>
            </w:hyperlink>
            <w:r w:rsidR="00057B56" w:rsidRPr="009E1D14">
              <w:rPr>
                <w:rFonts w:ascii="Times New Roman" w:eastAsia="Times New Roman" w:hAnsi="Times New Roman" w:cs="Times New Roman"/>
                <w:color w:val="000000" w:themeColor="text1"/>
                <w:lang w:eastAsia="lv-LV"/>
              </w:rPr>
              <w:t xml:space="preserve">" (pieņemti 2020.gada 29.oktobrī un stājušies spēkā 2020.gada 13.novembrī) paredz, ka </w:t>
            </w:r>
            <w:r w:rsidR="00841D74" w:rsidRPr="009E1D14">
              <w:rPr>
                <w:rFonts w:ascii="Times New Roman" w:eastAsia="Times New Roman" w:hAnsi="Times New Roman" w:cs="Times New Roman"/>
                <w:color w:val="000000" w:themeColor="text1"/>
                <w:lang w:eastAsia="lv-LV"/>
              </w:rPr>
              <w:t xml:space="preserve">turpmāk </w:t>
            </w:r>
            <w:r w:rsidR="00841D74" w:rsidRPr="009E1D14">
              <w:rPr>
                <w:rFonts w:ascii="Times New Roman" w:hAnsi="Times New Roman" w:cs="Times New Roman"/>
                <w:color w:val="000000" w:themeColor="text1"/>
              </w:rPr>
              <w:t>d</w:t>
            </w:r>
            <w:r w:rsidR="00763491" w:rsidRPr="009E1D14">
              <w:rPr>
                <w:rFonts w:ascii="Times New Roman" w:hAnsi="Times New Roman" w:cs="Times New Roman"/>
                <w:color w:val="000000" w:themeColor="text1"/>
              </w:rPr>
              <w:t xml:space="preserve">zīva cilvēka audu un orgānu, kā arī miruša cilvēka ķermeņa izmantošana </w:t>
            </w:r>
            <w:r w:rsidR="00841D74" w:rsidRPr="009E1D14">
              <w:rPr>
                <w:rFonts w:ascii="Times New Roman" w:hAnsi="Times New Roman" w:cs="Times New Roman"/>
                <w:color w:val="000000" w:themeColor="text1"/>
              </w:rPr>
              <w:t xml:space="preserve">būs paredzēta ne tikai </w:t>
            </w:r>
            <w:r w:rsidR="00763491" w:rsidRPr="009E1D14">
              <w:rPr>
                <w:rFonts w:ascii="Times New Roman" w:hAnsi="Times New Roman" w:cs="Times New Roman"/>
                <w:color w:val="000000" w:themeColor="text1"/>
              </w:rPr>
              <w:t>medicīnas studij</w:t>
            </w:r>
            <w:r w:rsidR="00841D74" w:rsidRPr="009E1D14">
              <w:rPr>
                <w:rFonts w:ascii="Times New Roman" w:hAnsi="Times New Roman" w:cs="Times New Roman"/>
                <w:color w:val="000000" w:themeColor="text1"/>
              </w:rPr>
              <w:t>u, bet arī</w:t>
            </w:r>
            <w:r w:rsidR="00763491" w:rsidRPr="009E1D14">
              <w:rPr>
                <w:rFonts w:ascii="Times New Roman" w:hAnsi="Times New Roman" w:cs="Times New Roman"/>
                <w:color w:val="000000" w:themeColor="text1"/>
              </w:rPr>
              <w:t xml:space="preserve"> ārstniecības personu profesionālās pilnveides programm</w:t>
            </w:r>
            <w:r w:rsidR="00841D74" w:rsidRPr="009E1D14">
              <w:rPr>
                <w:rFonts w:ascii="Times New Roman" w:hAnsi="Times New Roman" w:cs="Times New Roman"/>
                <w:color w:val="000000" w:themeColor="text1"/>
              </w:rPr>
              <w:t>as ietvaros, attiecīgi</w:t>
            </w:r>
            <w:r w:rsidR="00763491" w:rsidRPr="009E1D14">
              <w:rPr>
                <w:rFonts w:ascii="Times New Roman" w:hAnsi="Times New Roman" w:cs="Times New Roman"/>
                <w:color w:val="000000" w:themeColor="text1"/>
              </w:rPr>
              <w:t xml:space="preserve"> īstenojot akreditētu medicīnas studiju programmu vai ārstniecības personu profesionālās pilnveides programmu augstskolā, kurai ir </w:t>
            </w:r>
            <w:r w:rsidR="007A2888">
              <w:rPr>
                <w:rFonts w:ascii="Times New Roman" w:hAnsi="Times New Roman" w:cs="Times New Roman"/>
                <w:color w:val="000000" w:themeColor="text1"/>
              </w:rPr>
              <w:t>A</w:t>
            </w:r>
            <w:r w:rsidR="00763491" w:rsidRPr="009E1D14">
              <w:rPr>
                <w:rFonts w:ascii="Times New Roman" w:hAnsi="Times New Roman" w:cs="Times New Roman"/>
                <w:color w:val="000000" w:themeColor="text1"/>
              </w:rPr>
              <w:t>ģentūras izsniegta audu vai orgānu izmantošanas atļauja.</w:t>
            </w:r>
            <w:r w:rsidR="00057B56" w:rsidRPr="009E1D14">
              <w:rPr>
                <w:rFonts w:ascii="Times New Roman" w:hAnsi="Times New Roman" w:cs="Times New Roman"/>
                <w:color w:val="000000"/>
              </w:rPr>
              <w:t xml:space="preserve"> Ņemot vērā, ka profesionālās pilnveides programmas ārstniecībā ir tikpat nepieciešamas kā līdzdiploma izglītība un studijas rezidentūras programmās, tad minētais priekšlikums ir samērīgs un joprojām strikti regulēts. Proti, arī attiecībā uz profesionālās pilnveides programmām tiek saglabāts nosacījumus, ka dzīva cilvēka audu vai orgānu, kā arī miruša cilvēka ķermeņa izmantošana profesionālās pilnveides programmās ir pieļaujama tikai augstskolā, kura ir saņēmusi </w:t>
            </w:r>
            <w:r w:rsidR="007A2888">
              <w:rPr>
                <w:rFonts w:ascii="Times New Roman" w:hAnsi="Times New Roman" w:cs="Times New Roman"/>
                <w:color w:val="000000"/>
              </w:rPr>
              <w:t>A</w:t>
            </w:r>
            <w:r w:rsidR="00057B56" w:rsidRPr="009E1D14">
              <w:rPr>
                <w:rFonts w:ascii="Times New Roman" w:hAnsi="Times New Roman" w:cs="Times New Roman"/>
                <w:color w:val="000000"/>
              </w:rPr>
              <w:t>ģentūras izsniegtu audu vai orgānu izmantošanas atļauju</w:t>
            </w:r>
            <w:r w:rsidR="00DC5108" w:rsidRPr="009E1D14">
              <w:rPr>
                <w:rFonts w:ascii="Times New Roman" w:hAnsi="Times New Roman" w:cs="Times New Roman"/>
                <w:color w:val="000000"/>
              </w:rPr>
              <w:t xml:space="preserve"> (noteikumu 1.</w:t>
            </w:r>
            <w:r w:rsidR="00812732">
              <w:rPr>
                <w:rFonts w:ascii="Times New Roman" w:hAnsi="Times New Roman" w:cs="Times New Roman"/>
                <w:color w:val="000000"/>
              </w:rPr>
              <w:t>6</w:t>
            </w:r>
            <w:r w:rsidR="00DC5108" w:rsidRPr="009E1D14">
              <w:rPr>
                <w:rFonts w:ascii="Times New Roman" w:hAnsi="Times New Roman" w:cs="Times New Roman"/>
                <w:color w:val="000000"/>
              </w:rPr>
              <w:t>.apakšpunkts)</w:t>
            </w:r>
            <w:r w:rsidR="00057B56" w:rsidRPr="009E1D14">
              <w:rPr>
                <w:rFonts w:ascii="Times New Roman" w:hAnsi="Times New Roman" w:cs="Times New Roman"/>
                <w:color w:val="000000"/>
              </w:rPr>
              <w:t>.</w:t>
            </w:r>
          </w:p>
          <w:p w14:paraId="71E9ED02" w14:textId="36365BBD" w:rsidR="00953506" w:rsidRDefault="00953506" w:rsidP="000311F1">
            <w:pPr>
              <w:spacing w:after="0" w:line="240" w:lineRule="auto"/>
              <w:jc w:val="both"/>
              <w:rPr>
                <w:rFonts w:ascii="Times New Roman" w:hAnsi="Times New Roman" w:cs="Times New Roman"/>
                <w:color w:val="000000"/>
                <w:sz w:val="24"/>
                <w:szCs w:val="24"/>
              </w:rPr>
            </w:pPr>
          </w:p>
          <w:p w14:paraId="5E6A3ECB" w14:textId="46A4666F" w:rsidR="00953506" w:rsidRPr="009E1D14" w:rsidRDefault="00953506" w:rsidP="000311F1">
            <w:pPr>
              <w:spacing w:after="0" w:line="240" w:lineRule="auto"/>
              <w:jc w:val="both"/>
              <w:rPr>
                <w:rFonts w:ascii="Times New Roman" w:hAnsi="Times New Roman" w:cs="Times New Roman"/>
                <w:sz w:val="24"/>
                <w:szCs w:val="24"/>
              </w:rPr>
            </w:pPr>
            <w:r>
              <w:rPr>
                <w:rFonts w:ascii="Times New Roman" w:hAnsi="Times New Roman" w:cs="Times New Roman"/>
                <w:iCs/>
                <w:color w:val="000000"/>
                <w:sz w:val="24"/>
                <w:szCs w:val="24"/>
              </w:rPr>
              <w:t xml:space="preserve">5. </w:t>
            </w:r>
            <w:r w:rsidRPr="009E1D14">
              <w:rPr>
                <w:rFonts w:ascii="Times New Roman" w:hAnsi="Times New Roman" w:cs="Times New Roman"/>
                <w:iCs/>
                <w:color w:val="000000"/>
                <w:sz w:val="24"/>
                <w:szCs w:val="24"/>
              </w:rPr>
              <w:t>Šobrīd Cenrāža 9.punkts nosaka, ka “</w:t>
            </w:r>
            <w:r w:rsidRPr="009E1D14">
              <w:rPr>
                <w:rFonts w:ascii="Times New Roman" w:hAnsi="Times New Roman" w:cs="Times New Roman"/>
                <w:sz w:val="24"/>
                <w:szCs w:val="24"/>
              </w:rPr>
              <w:t xml:space="preserve">Ja atbilstības novērtēšana saistīta ar izbraukumu, dokumentu iesniedzējs sedz aģentūras amatpersonas ceļa </w:t>
            </w:r>
            <w:r w:rsidRPr="009E1D14">
              <w:rPr>
                <w:rFonts w:ascii="Times New Roman" w:hAnsi="Times New Roman" w:cs="Times New Roman"/>
                <w:sz w:val="24"/>
                <w:szCs w:val="24"/>
              </w:rPr>
              <w:lastRenderedPageBreak/>
              <w:t xml:space="preserve">(transporta) izdevumus līdz uzņēmumam un atpakaļ, izdevumus par vīzas noformēšanu, izdevumus par viesnīcu (naktsmītni), veselības apdrošināšanas izdevumus un dienas naudu par šo noteikumu </w:t>
            </w:r>
            <w:hyperlink r:id="rId8" w:anchor="piel0" w:history="1">
              <w:r w:rsidRPr="009E1D14">
                <w:rPr>
                  <w:rFonts w:ascii="Times New Roman" w:hAnsi="Times New Roman" w:cs="Times New Roman"/>
                  <w:color w:val="000000" w:themeColor="text1"/>
                  <w:sz w:val="24"/>
                  <w:szCs w:val="24"/>
                </w:rPr>
                <w:t>pielikuma</w:t>
              </w:r>
            </w:hyperlink>
            <w:r w:rsidRPr="009E1D14">
              <w:rPr>
                <w:rFonts w:ascii="Times New Roman" w:hAnsi="Times New Roman" w:cs="Times New Roman"/>
                <w:sz w:val="24"/>
                <w:szCs w:val="24"/>
              </w:rPr>
              <w:t xml:space="preserve"> 35., 36., 38. punktā, 39.2., 39.8. apakšpunktā un 44. punktā minētajiem pakalpojumiem.” Tā kā Cenrāža pielikuma 35.punkta pakalpojums “Labas ražošanas prakses nodrošinājuma pārbaude zāļu vai aktīvo vielu, vai palīgvielu ražošanas vai importēšanas uzņēmumā vai laboratorijā Latvijā, kas zāļu vai izejvielu kvalitātes kontroli veic, pamatojoties uz līgumu” tiek sniegts Latvijas teritorijā un pakalpojumā jau ir ietvertas netiešās attiecināmās izmaksas,  nepieciešams precizēt Cenrāža 9.punktu,  papildinot ar norādi, ka ar atbilstības novērtēšanu saistītos izdevumus sedz uzņēmumi ārpus Latvijas, kā arī svītrojot atsauci uz pielikuma 35.punktu. Vienlaikus ir papildināts Cenrāža pielikuma 53.punkts (noteikumu 1.</w:t>
            </w:r>
            <w:r>
              <w:rPr>
                <w:rFonts w:ascii="Times New Roman" w:hAnsi="Times New Roman" w:cs="Times New Roman"/>
                <w:sz w:val="24"/>
                <w:szCs w:val="24"/>
              </w:rPr>
              <w:t>8</w:t>
            </w:r>
            <w:r w:rsidRPr="009E1D14">
              <w:rPr>
                <w:rFonts w:ascii="Times New Roman" w:hAnsi="Times New Roman" w:cs="Times New Roman"/>
                <w:sz w:val="24"/>
                <w:szCs w:val="24"/>
              </w:rPr>
              <w:t>.apakšpunkts), nosakot maksu izbraukumam pa Latviju, lai veiktu atbilstības novērtēšanu</w:t>
            </w:r>
            <w:r>
              <w:rPr>
                <w:rFonts w:ascii="Times New Roman" w:hAnsi="Times New Roman" w:cs="Times New Roman"/>
                <w:sz w:val="24"/>
                <w:szCs w:val="24"/>
              </w:rPr>
              <w:t xml:space="preserve"> (nodrošinājuma pārbaudi)</w:t>
            </w:r>
            <w:r w:rsidRPr="009E1D14">
              <w:rPr>
                <w:rFonts w:ascii="Times New Roman" w:hAnsi="Times New Roman" w:cs="Times New Roman"/>
                <w:sz w:val="24"/>
                <w:szCs w:val="24"/>
              </w:rPr>
              <w:t>.</w:t>
            </w:r>
          </w:p>
          <w:p w14:paraId="740355E9" w14:textId="3F03BDFC" w:rsidR="00E15CBC" w:rsidRPr="009E1D14" w:rsidRDefault="00E15CBC" w:rsidP="00515469">
            <w:pPr>
              <w:autoSpaceDE w:val="0"/>
              <w:autoSpaceDN w:val="0"/>
              <w:adjustRightInd w:val="0"/>
              <w:spacing w:after="0" w:line="240" w:lineRule="auto"/>
              <w:jc w:val="both"/>
              <w:rPr>
                <w:rFonts w:ascii="Times New Roman" w:hAnsi="Times New Roman" w:cs="Times New Roman"/>
                <w:iCs/>
                <w:color w:val="000000"/>
                <w:sz w:val="24"/>
                <w:szCs w:val="24"/>
              </w:rPr>
            </w:pPr>
          </w:p>
          <w:p w14:paraId="44B8437C" w14:textId="616D2895" w:rsidR="005F4D2B" w:rsidRPr="009E1D14" w:rsidRDefault="00EE7A0F" w:rsidP="00464770">
            <w:pPr>
              <w:pStyle w:val="NoSpacing"/>
              <w:jc w:val="both"/>
            </w:pPr>
            <w:r w:rsidRPr="009E1D14">
              <w:rPr>
                <w:iCs/>
                <w:color w:val="000000"/>
              </w:rPr>
              <w:t>6</w:t>
            </w:r>
            <w:r w:rsidR="00E15CBC" w:rsidRPr="009E1D14">
              <w:rPr>
                <w:iCs/>
                <w:color w:val="000000"/>
              </w:rPr>
              <w:t xml:space="preserve">. </w:t>
            </w:r>
            <w:r w:rsidR="0058041C" w:rsidRPr="009E1D14">
              <w:t>Eiropas Parlamenta un Padomes Regulas (ES) 2017/745, kas attiecas uz medicīniskām ierīcēm</w:t>
            </w:r>
            <w:r w:rsidR="003E54F7" w:rsidRPr="009E1D14">
              <w:rPr>
                <w:color w:val="000000" w:themeColor="text1"/>
                <w:shd w:val="clear" w:color="auto" w:fill="FFFFFF"/>
              </w:rPr>
              <w:t>, 75.panta 1. un 2.punkts nosaka, ka</w:t>
            </w:r>
            <w:r w:rsidR="005F4D2B" w:rsidRPr="009E1D14">
              <w:rPr>
                <w:color w:val="000000" w:themeColor="text1"/>
                <w:shd w:val="clear" w:color="auto" w:fill="FFFFFF"/>
              </w:rPr>
              <w:t xml:space="preserve">, ja </w:t>
            </w:r>
            <w:r w:rsidR="005F4D2B" w:rsidRPr="009E1D14">
              <w:t xml:space="preserve"> sponsors plāno klīnisk</w:t>
            </w:r>
            <w:r w:rsidR="00B701D1" w:rsidRPr="009E1D14">
              <w:t>aj</w:t>
            </w:r>
            <w:r w:rsidR="005F4D2B" w:rsidRPr="009E1D14">
              <w:t>ā pētījumā izdarīt i</w:t>
            </w:r>
            <w:r w:rsidR="00A80330" w:rsidRPr="009E1D14">
              <w:t xml:space="preserve">zmaiņas, kuras, ļoti iespējams, </w:t>
            </w:r>
            <w:r w:rsidR="005F4D2B" w:rsidRPr="009E1D14">
              <w:t>varētu būtiski ietekmēt pētāmo personu drošību, veselību vai tiesības vai pētījumā iegūto klīnisko datu noturību vai ticamību, tas vienas nedēļas laikā ar 73.pantā minētās elektroniskās sistēmas starpniecību paziņo dalībvalstij(-īm), kurā(-ās) klīniskais pētījums tiek veikts vai tiks veikts, par minēto izmaiņu iemesliem un būtību. Sponsors pievieno XV pielikuma II nodaļā minētās attiecīgās dokumentācijas atjauninātu versiju, kas ir daļa no paziņojuma. Dalībvalsts novērtē jebkuru klīniskā pētījuma būtisku izmaiņu saskaņā ar 71.pantā noteikto procedūru</w:t>
            </w:r>
            <w:r w:rsidR="00464770" w:rsidRPr="009E1D14">
              <w:t>.</w:t>
            </w:r>
          </w:p>
          <w:p w14:paraId="22FD532A" w14:textId="766C6FD4" w:rsidR="0058041C" w:rsidRPr="009E1D14" w:rsidRDefault="0058041C" w:rsidP="00464770">
            <w:pPr>
              <w:pStyle w:val="NoSpacing"/>
              <w:jc w:val="both"/>
            </w:pPr>
          </w:p>
          <w:p w14:paraId="26BAFA65" w14:textId="22CD5222" w:rsidR="003E54F7" w:rsidRPr="009E1D14" w:rsidRDefault="0058041C" w:rsidP="001D028E">
            <w:pPr>
              <w:pStyle w:val="NoSpacing"/>
              <w:jc w:val="both"/>
            </w:pPr>
            <w:r w:rsidRPr="009E1D14">
              <w:t xml:space="preserve">Ņemot vērā minēto, </w:t>
            </w:r>
            <w:r w:rsidR="0049592B" w:rsidRPr="009E1D14">
              <w:t>Cenrāža</w:t>
            </w:r>
            <w:r w:rsidR="00A80330" w:rsidRPr="009E1D14">
              <w:t xml:space="preserve"> pielikuma 60.punktā ietvertais maksas </w:t>
            </w:r>
            <w:r w:rsidRPr="009E1D14">
              <w:t xml:space="preserve">pakalpojuma </w:t>
            </w:r>
            <w:r w:rsidR="00A80330" w:rsidRPr="009E1D14">
              <w:t xml:space="preserve">veida </w:t>
            </w:r>
            <w:r w:rsidRPr="009E1D14">
              <w:t xml:space="preserve">nosaukums precizēts atbilstoši Regulas (ES) 2017/745 </w:t>
            </w:r>
            <w:r w:rsidRPr="009E1D14">
              <w:rPr>
                <w:color w:val="000000" w:themeColor="text1"/>
                <w:shd w:val="clear" w:color="auto" w:fill="FFFFFF"/>
              </w:rPr>
              <w:t xml:space="preserve">75.panta 1. un 2.punktā </w:t>
            </w:r>
            <w:r w:rsidR="009444A1" w:rsidRPr="009E1D14">
              <w:rPr>
                <w:color w:val="000000" w:themeColor="text1"/>
                <w:shd w:val="clear" w:color="auto" w:fill="FFFFFF"/>
              </w:rPr>
              <w:t>noteiktaja</w:t>
            </w:r>
            <w:r w:rsidRPr="009E1D14">
              <w:rPr>
                <w:color w:val="000000" w:themeColor="text1"/>
                <w:shd w:val="clear" w:color="auto" w:fill="FFFFFF"/>
              </w:rPr>
              <w:t>m.</w:t>
            </w:r>
            <w:r w:rsidRPr="009E1D14">
              <w:t xml:space="preserve"> </w:t>
            </w:r>
          </w:p>
          <w:p w14:paraId="3ABDF384" w14:textId="68EFF7D4" w:rsidR="00A63E0A" w:rsidRPr="009E1D14" w:rsidRDefault="00A80330" w:rsidP="00A63E0A">
            <w:pPr>
              <w:pStyle w:val="doc-ti"/>
              <w:spacing w:before="0" w:beforeAutospacing="0" w:after="0" w:afterAutospacing="0"/>
              <w:jc w:val="both"/>
              <w:rPr>
                <w:color w:val="000000" w:themeColor="text1"/>
              </w:rPr>
            </w:pPr>
            <w:r w:rsidRPr="009E1D14">
              <w:rPr>
                <w:color w:val="000000" w:themeColor="text1"/>
              </w:rPr>
              <w:t>Ievērojot Eiropas Parlamenta un Padomes 2020.gada 23.aprīļa Regulas (ES)  2020/561, ar kuru attiecībā uz dažu noteikumu piemērošanas datumiem groza Regulu (ES) 2017/745, kas attiecas uz medicīniskām ierīcēm 1.panta 8.punkta a) apakšpunktu, regulu piemēro no 2021.gada 26.maija</w:t>
            </w:r>
            <w:r w:rsidR="00A63E0A" w:rsidRPr="009E1D14">
              <w:rPr>
                <w:color w:val="000000" w:themeColor="text1"/>
              </w:rPr>
              <w:t>, līdz ar to grozījums Cenrāža pielikuma 60.punktā (noteikumu 1.</w:t>
            </w:r>
            <w:r w:rsidR="00541498" w:rsidRPr="009E1D14">
              <w:rPr>
                <w:color w:val="000000" w:themeColor="text1"/>
              </w:rPr>
              <w:t>1</w:t>
            </w:r>
            <w:r w:rsidR="00CA630A">
              <w:rPr>
                <w:color w:val="000000" w:themeColor="text1"/>
              </w:rPr>
              <w:t>1</w:t>
            </w:r>
            <w:r w:rsidR="00A63E0A" w:rsidRPr="009E1D14">
              <w:rPr>
                <w:color w:val="000000" w:themeColor="text1"/>
              </w:rPr>
              <w:t>.apakšpunkts) stājas spēkā 2021.gada 26.maijā.</w:t>
            </w:r>
          </w:p>
          <w:p w14:paraId="4CC16916" w14:textId="70D96773" w:rsidR="00A80330" w:rsidRPr="009E1D14" w:rsidRDefault="00A80330" w:rsidP="001D028E">
            <w:pPr>
              <w:pStyle w:val="NoSpacing"/>
              <w:jc w:val="both"/>
              <w:rPr>
                <w:iCs/>
                <w:color w:val="000000"/>
              </w:rPr>
            </w:pPr>
          </w:p>
          <w:p w14:paraId="5F62893C" w14:textId="22264320" w:rsidR="00B701D1" w:rsidRPr="009E1D14" w:rsidRDefault="00EE7A0F" w:rsidP="00840CA9">
            <w:pPr>
              <w:pStyle w:val="NoSpacing"/>
              <w:jc w:val="both"/>
              <w:rPr>
                <w:color w:val="000000" w:themeColor="text1"/>
                <w:shd w:val="clear" w:color="auto" w:fill="FFFFFF"/>
              </w:rPr>
            </w:pPr>
            <w:r w:rsidRPr="009E1D14">
              <w:rPr>
                <w:iCs/>
                <w:color w:val="000000"/>
              </w:rPr>
              <w:t>7</w:t>
            </w:r>
            <w:r w:rsidR="00B701D1" w:rsidRPr="009E1D14">
              <w:rPr>
                <w:iCs/>
                <w:color w:val="000000"/>
              </w:rPr>
              <w:t xml:space="preserve">. </w:t>
            </w:r>
            <w:r w:rsidR="00B701D1" w:rsidRPr="009E1D14">
              <w:t>Eiropas Parlamenta un Padomes Regulas (ES) 2017/745, kas attiecas uz medicīniskām ierīcēm</w:t>
            </w:r>
            <w:r w:rsidR="00B701D1" w:rsidRPr="009E1D14">
              <w:rPr>
                <w:color w:val="000000" w:themeColor="text1"/>
                <w:shd w:val="clear" w:color="auto" w:fill="FFFFFF"/>
              </w:rPr>
              <w:t>,</w:t>
            </w:r>
            <w:r w:rsidR="00825F03" w:rsidRPr="009E1D14">
              <w:rPr>
                <w:color w:val="000000" w:themeColor="text1"/>
                <w:shd w:val="clear" w:color="auto" w:fill="FFFFFF"/>
              </w:rPr>
              <w:t xml:space="preserve"> 76.panta 1.punkta b) apakšpunkts nosaka, ka</w:t>
            </w:r>
            <w:r w:rsidR="009444A1" w:rsidRPr="009E1D14">
              <w:rPr>
                <w:color w:val="000000" w:themeColor="text1"/>
                <w:shd w:val="clear" w:color="auto" w:fill="FFFFFF"/>
              </w:rPr>
              <w:t>, ja dalībvalstij, kurā tiek veikts klīniskais pētījums vai kurā to paredzēts veikt, ir pamats uzskatīt, ka šajā regulā noteiktās prasības netiek pildītas, tā savā teritorijā var apturēt klīnisko pētījumu.</w:t>
            </w:r>
            <w:r w:rsidR="00825F03" w:rsidRPr="009E1D14">
              <w:rPr>
                <w:color w:val="000000" w:themeColor="text1"/>
                <w:shd w:val="clear" w:color="auto" w:fill="FFFFFF"/>
              </w:rPr>
              <w:t xml:space="preserve"> </w:t>
            </w:r>
          </w:p>
          <w:p w14:paraId="339E5617" w14:textId="3C609629" w:rsidR="009444A1" w:rsidRPr="009E1D14" w:rsidRDefault="009444A1" w:rsidP="00840CA9">
            <w:pPr>
              <w:pStyle w:val="NoSpacing"/>
              <w:jc w:val="both"/>
              <w:rPr>
                <w:color w:val="000000" w:themeColor="text1"/>
                <w:shd w:val="clear" w:color="auto" w:fill="FFFFFF"/>
              </w:rPr>
            </w:pPr>
          </w:p>
          <w:p w14:paraId="0A974CFB" w14:textId="40E3CC8F" w:rsidR="00840CA9" w:rsidRPr="009E1D14" w:rsidRDefault="009444A1" w:rsidP="00840CA9">
            <w:pPr>
              <w:spacing w:after="0" w:line="240" w:lineRule="auto"/>
              <w:jc w:val="both"/>
              <w:rPr>
                <w:rFonts w:ascii="Times New Roman" w:eastAsia="Times New Roman" w:hAnsi="Times New Roman" w:cs="Times New Roman"/>
                <w:vanish/>
                <w:sz w:val="24"/>
                <w:szCs w:val="24"/>
                <w:lang w:eastAsia="lv-LV"/>
              </w:rPr>
            </w:pPr>
            <w:r w:rsidRPr="009E1D14">
              <w:rPr>
                <w:rFonts w:ascii="Times New Roman" w:hAnsi="Times New Roman" w:cs="Times New Roman"/>
                <w:sz w:val="24"/>
                <w:szCs w:val="24"/>
              </w:rPr>
              <w:t xml:space="preserve">Ņemot vērā minēto, Ministru kabineta 2019.gada 10.decembra noteikumu Nr. 641 “Zāļu valsts aģentūras maksas pakalpojumu cenrādis” pielikuma 61.punktā ietvertais maksas pakalpojuma veida nosaukums precizēts atbilstoši Regulas (ES) 2017/745 </w:t>
            </w:r>
            <w:r w:rsidRPr="009E1D14">
              <w:rPr>
                <w:rFonts w:ascii="Times New Roman" w:hAnsi="Times New Roman" w:cs="Times New Roman"/>
                <w:color w:val="000000" w:themeColor="text1"/>
                <w:sz w:val="24"/>
                <w:szCs w:val="24"/>
                <w:shd w:val="clear" w:color="auto" w:fill="FFFFFF"/>
              </w:rPr>
              <w:t>76.panta 1.punkta b) apakšpunkt</w:t>
            </w:r>
            <w:r w:rsidR="00840CA9" w:rsidRPr="009E1D14">
              <w:rPr>
                <w:rFonts w:ascii="Times New Roman" w:hAnsi="Times New Roman" w:cs="Times New Roman"/>
                <w:color w:val="000000" w:themeColor="text1"/>
                <w:sz w:val="24"/>
                <w:szCs w:val="24"/>
                <w:shd w:val="clear" w:color="auto" w:fill="FFFFFF"/>
              </w:rPr>
              <w:t>am,</w:t>
            </w:r>
            <w:r w:rsidR="00646A77" w:rsidRPr="009E1D14">
              <w:rPr>
                <w:rFonts w:ascii="Times New Roman" w:hAnsi="Times New Roman" w:cs="Times New Roman"/>
                <w:color w:val="000000" w:themeColor="text1"/>
                <w:sz w:val="24"/>
                <w:szCs w:val="24"/>
                <w:shd w:val="clear" w:color="auto" w:fill="FFFFFF"/>
              </w:rPr>
              <w:t xml:space="preserve"> </w:t>
            </w:r>
            <w:r w:rsidR="00840CA9" w:rsidRPr="009E1D14">
              <w:rPr>
                <w:rFonts w:ascii="Times New Roman" w:hAnsi="Times New Roman" w:cs="Times New Roman"/>
                <w:color w:val="000000" w:themeColor="text1"/>
                <w:sz w:val="24"/>
                <w:szCs w:val="24"/>
                <w:shd w:val="clear" w:color="auto" w:fill="FFFFFF"/>
              </w:rPr>
              <w:t>proti,</w:t>
            </w:r>
            <w:r w:rsidR="00840CA9" w:rsidRPr="009E1D14">
              <w:rPr>
                <w:rFonts w:ascii="Times New Roman" w:hAnsi="Times New Roman" w:cs="Times New Roman"/>
                <w:sz w:val="24"/>
                <w:szCs w:val="24"/>
                <w:lang w:eastAsia="lv-LV"/>
              </w:rPr>
              <w:t xml:space="preserve">  “Ja dalībvalstij, kurā tiek veikts klīniskais pētījums vai kurā to paredzēts veikt, ir pamats uzskatīt, ka šajā regulā noteiktās prasības netiek pildītas, tā savā teritorijā var apturēt vai izbeigt klīnisko pētījum</w:t>
            </w:r>
            <w:r w:rsidR="009E1D14">
              <w:rPr>
                <w:rFonts w:ascii="Times New Roman" w:hAnsi="Times New Roman" w:cs="Times New Roman"/>
                <w:sz w:val="24"/>
                <w:szCs w:val="24"/>
                <w:lang w:eastAsia="lv-LV"/>
              </w:rPr>
              <w:t>u</w:t>
            </w:r>
          </w:p>
          <w:tbl>
            <w:tblPr>
              <w:tblW w:w="7681" w:type="dxa"/>
              <w:tblCellSpacing w:w="0" w:type="dxa"/>
              <w:tblLayout w:type="fixed"/>
              <w:tblCellMar>
                <w:left w:w="0" w:type="dxa"/>
                <w:right w:w="0" w:type="dxa"/>
              </w:tblCellMar>
              <w:tblLook w:val="04A0" w:firstRow="1" w:lastRow="0" w:firstColumn="1" w:lastColumn="0" w:noHBand="0" w:noVBand="1"/>
            </w:tblPr>
            <w:tblGrid>
              <w:gridCol w:w="7040"/>
              <w:gridCol w:w="641"/>
            </w:tblGrid>
            <w:tr w:rsidR="00840CA9" w:rsidRPr="009E1D14" w14:paraId="0E6EE28E" w14:textId="77777777" w:rsidTr="000B0D49">
              <w:trPr>
                <w:tblCellSpacing w:w="0" w:type="dxa"/>
              </w:trPr>
              <w:tc>
                <w:tcPr>
                  <w:tcW w:w="4583" w:type="pct"/>
                  <w:hideMark/>
                </w:tcPr>
                <w:p w14:paraId="6970F0C7" w14:textId="477A7B95" w:rsidR="00840CA9" w:rsidRPr="009E1D14" w:rsidRDefault="00840CA9" w:rsidP="00840CA9">
                  <w:pPr>
                    <w:spacing w:after="0" w:line="240" w:lineRule="auto"/>
                    <w:jc w:val="both"/>
                    <w:rPr>
                      <w:rFonts w:ascii="Times New Roman" w:eastAsia="Times New Roman" w:hAnsi="Times New Roman" w:cs="Times New Roman"/>
                      <w:sz w:val="24"/>
                      <w:szCs w:val="24"/>
                      <w:lang w:eastAsia="lv-LV"/>
                    </w:rPr>
                  </w:pPr>
                </w:p>
              </w:tc>
              <w:tc>
                <w:tcPr>
                  <w:tcW w:w="641" w:type="dxa"/>
                  <w:hideMark/>
                </w:tcPr>
                <w:p w14:paraId="2CD1F9F4" w14:textId="2938DC57" w:rsidR="00840CA9" w:rsidRPr="009E1D14" w:rsidRDefault="00840CA9" w:rsidP="002F4B18">
                  <w:pPr>
                    <w:spacing w:after="0" w:line="240" w:lineRule="auto"/>
                    <w:ind w:left="-6418"/>
                    <w:jc w:val="both"/>
                    <w:rPr>
                      <w:rFonts w:ascii="Times New Roman" w:eastAsia="Times New Roman" w:hAnsi="Times New Roman" w:cs="Times New Roman"/>
                      <w:sz w:val="24"/>
                      <w:szCs w:val="24"/>
                      <w:lang w:eastAsia="lv-LV"/>
                    </w:rPr>
                  </w:pPr>
                </w:p>
              </w:tc>
            </w:tr>
          </w:tbl>
          <w:p w14:paraId="58DCDBFE" w14:textId="392CD3E9" w:rsidR="0092483C" w:rsidRPr="009E1D14" w:rsidRDefault="0092483C" w:rsidP="0092483C">
            <w:pPr>
              <w:pStyle w:val="doc-ti"/>
              <w:spacing w:before="0" w:beforeAutospacing="0" w:after="0" w:afterAutospacing="0"/>
              <w:jc w:val="both"/>
              <w:rPr>
                <w:color w:val="000000" w:themeColor="text1"/>
              </w:rPr>
            </w:pPr>
            <w:r w:rsidRPr="009E1D14">
              <w:rPr>
                <w:color w:val="000000" w:themeColor="text1"/>
              </w:rPr>
              <w:lastRenderedPageBreak/>
              <w:t>Ievērojot Eiropas Parlamenta un Padomes 2020.gada 23.aprīļa Regulas (ES)  2020/561, ar kuru attiecībā uz dažu noteikumu piemērošanas datumiem groza Regulu (ES) 2017/745, kas attiecas uz medicīniskām ierīcēm 1.panta 8.punkta a) apakšpunktu, regulu piemēro no 2021.gada 26.maija</w:t>
            </w:r>
            <w:r w:rsidR="001B36F7" w:rsidRPr="009E1D14">
              <w:rPr>
                <w:color w:val="000000" w:themeColor="text1"/>
              </w:rPr>
              <w:t>, līdz ar to grozījums Cenrāža pielikuma 61.punktā (noteikumu 1.</w:t>
            </w:r>
            <w:r w:rsidR="009F3FA1" w:rsidRPr="009E1D14">
              <w:rPr>
                <w:color w:val="000000" w:themeColor="text1"/>
              </w:rPr>
              <w:t>1</w:t>
            </w:r>
            <w:r w:rsidR="00CA630A">
              <w:rPr>
                <w:color w:val="000000" w:themeColor="text1"/>
              </w:rPr>
              <w:t>2</w:t>
            </w:r>
            <w:r w:rsidR="001B36F7" w:rsidRPr="009E1D14">
              <w:rPr>
                <w:color w:val="000000" w:themeColor="text1"/>
              </w:rPr>
              <w:t>.apakšpunkts) stājas spēkā 2021.gada 26.maijā</w:t>
            </w:r>
            <w:r w:rsidRPr="009E1D14">
              <w:rPr>
                <w:color w:val="000000" w:themeColor="text1"/>
              </w:rPr>
              <w:t>.</w:t>
            </w:r>
          </w:p>
          <w:p w14:paraId="1B1473DA" w14:textId="77777777" w:rsidR="003E54F7" w:rsidRPr="009E1D14" w:rsidRDefault="003E54F7" w:rsidP="001D028E">
            <w:pPr>
              <w:pStyle w:val="NoSpacing"/>
              <w:jc w:val="both"/>
              <w:rPr>
                <w:iCs/>
                <w:color w:val="000000"/>
              </w:rPr>
            </w:pPr>
          </w:p>
          <w:p w14:paraId="54DFD55E" w14:textId="6DE66525" w:rsidR="007220F0" w:rsidRPr="009E1D14" w:rsidRDefault="00EE7A0F" w:rsidP="007220F0">
            <w:pPr>
              <w:pStyle w:val="NoSpacing"/>
              <w:jc w:val="both"/>
              <w:rPr>
                <w:bCs/>
                <w:sz w:val="25"/>
              </w:rPr>
            </w:pPr>
            <w:r w:rsidRPr="009E1D14">
              <w:t>8</w:t>
            </w:r>
            <w:r w:rsidR="003E54F7" w:rsidRPr="009E1D14">
              <w:t>.</w:t>
            </w:r>
            <w:r w:rsidR="007946BB" w:rsidRPr="009E1D14">
              <w:t xml:space="preserve"> </w:t>
            </w:r>
            <w:r w:rsidR="007220F0" w:rsidRPr="009E1D14">
              <w:rPr>
                <w:bCs/>
              </w:rPr>
              <w:t>Medicīnisko ierīču vigilances sistēmas darbības nodrošināšanas gada maksa.</w:t>
            </w:r>
          </w:p>
          <w:p w14:paraId="3851F263" w14:textId="175FA2C1" w:rsidR="007946BB" w:rsidRPr="009E1D14" w:rsidRDefault="007946BB" w:rsidP="007946BB">
            <w:pPr>
              <w:pStyle w:val="NoSpacing"/>
              <w:jc w:val="both"/>
            </w:pPr>
            <w:r w:rsidRPr="009E1D14">
              <w:t xml:space="preserve">Pamatojoties uz Farmācijas likuma 10.panta 14.punktu Aģentūra veic medicīnisko ierīču lietošanas drošības uzraudzību (vigilanci), veido un uztur datubāzi par novērotajām medicīnisko ierīču lietošanas izraisītajām blakusparādībām (negadījumiem). </w:t>
            </w:r>
          </w:p>
          <w:p w14:paraId="3ACCA040" w14:textId="6DB7E99C" w:rsidR="007946BB" w:rsidRPr="009E1D14" w:rsidRDefault="007946BB" w:rsidP="007946BB">
            <w:pPr>
              <w:pStyle w:val="NoSpacing"/>
              <w:jc w:val="both"/>
            </w:pPr>
            <w:r w:rsidRPr="009E1D14">
              <w:rPr>
                <w:noProof/>
              </w:rPr>
              <w:t xml:space="preserve">  </w:t>
            </w:r>
            <w:r w:rsidR="0019523C" w:rsidRPr="0019523C">
              <w:rPr>
                <w:noProof/>
              </w:rPr>
              <w:t xml:space="preserve">Eiropas Parlamenta un Padomes Regula (ES) 2017/745 </w:t>
            </w:r>
            <w:r w:rsidR="0019523C">
              <w:rPr>
                <w:noProof/>
              </w:rPr>
              <w:t>2017.gada 5.aprīļa regula</w:t>
            </w:r>
            <w:r w:rsidR="0019523C" w:rsidRPr="0019523C">
              <w:rPr>
                <w:noProof/>
              </w:rPr>
              <w:t>, kas attiecas uz medicīniskām ierīcēm, ar ko groza Direktīvu 2001/83/EK, Regulu (EK) Nr. 178/2002 un Regulu (EK) Nr. 1223/2009 un atceļ Padomes Direktīvas 90/385/EK un 93/42/EEK</w:t>
            </w:r>
            <w:r w:rsidRPr="009E1D14">
              <w:rPr>
                <w:noProof/>
              </w:rPr>
              <w:t xml:space="preserve"> (turpmāk – regula 2017/745), kuru piemēros no 2021.gada 26.maija, 34., 74., 81. un 84.apsvērums nosaka, ka </w:t>
            </w:r>
            <w:r w:rsidRPr="009E1D14">
              <w:t>būtu jānodrošina, lai medicīnisko ierīču ražotāja organizācijā ierīču ražošanas pārraudzību un kontroli, kā arī pēctirgus uzraudzību un vigilances pasākumus attiecībā uz tām veiktu persona, kas ir atbildīga par regulatīvo atbilstību un kas atbilst minimālajiem kvalifikācijas nosacījumiem. Medicīnisko ierīču ražotājiem būtu aktīvi jāiesaistās pēctirgus posmā, sistemātiski un aktīvi ievācot informāciju par pieredzi ar ierīcēm pēc to laišanas tirgū, lai atjauninātu to tehnisko dokumentāciju un sadarbotos ar valsts kompetentajām iestādēm, kuras ir atbildīgas par vigilances un tirgus uzraudzības darbībām. Par jebkuru statistiski nozīmīgu tādu negadījumu skaita vai nopietnības pakāpes palielināšanos, kas nav nopietni, vai statistiski nozīmīgu gaidāmo blakusiedarbību palielināšanos, kura varētu būtiski ietekmēt ieguvumu un riska analīzi un kas varētu izraisīt nepieņemamu risku, būtu jāziņo kompetentajām iestādēm, lai tās varētu veikt izvērtējumu un pieņemt pienācīgus pasākumus. Lai nodrošinātu vienlīdz augstu veselības un drošības aizsardzības līmeni iekšējā tirgū, jo īpaši vigilances jomā, būtiska nozīme ir valsts kompetento iestāžu ciešākai koordinācijai, izmantojot informācijas apmaiņu un novērtējumus koordinējošās iestādes vadībā. Kopīga darba, koordinācijas un paziņošanas par darbībām rezultātā būtu jāpanāk arī resursu un speciālo zināšanu efektīvāks izmantojums valsts līmenī.</w:t>
            </w:r>
          </w:p>
          <w:p w14:paraId="572C7A62" w14:textId="77777777" w:rsidR="007946BB" w:rsidRPr="009E1D14" w:rsidRDefault="007946BB" w:rsidP="007946BB">
            <w:pPr>
              <w:pStyle w:val="NoSpacing"/>
              <w:jc w:val="both"/>
            </w:pPr>
            <w:r w:rsidRPr="009E1D14">
              <w:t xml:space="preserve">   </w:t>
            </w:r>
            <w:r w:rsidRPr="009E1D14">
              <w:rPr>
                <w:noProof/>
              </w:rPr>
              <w:t>Regulas 2017/745 14.panta 4.punkts nosaka, ka izplatītāji sadarbojas ar kompetentajām iestādēm, lai nodrošinātu, ka tiek veiktas koriģējošās darbības, kā nepieciešams, lai vajadzības gadījumā panāktu medicīnisko ierīču atbilstību, ierīces izņemtu vai atsauktu. Ja izplatītājs uzskata vai viņam ir iemesls uzskatīt, ka ierīces rada nopietnu risku, viņš arī nekavējoties informē to dalībvalstu kompetentās iestādes, kurās viņš ierīces darījis pieejamas, sīkāk informējot, jo īpaši, par neatbilstību un jebkādām veiktajām koriģējošām darbībām.</w:t>
            </w:r>
          </w:p>
          <w:p w14:paraId="605FF836" w14:textId="567B73E3" w:rsidR="007946BB" w:rsidRPr="009E1D14" w:rsidRDefault="007946BB" w:rsidP="007946BB">
            <w:pPr>
              <w:pStyle w:val="NoSpacing"/>
              <w:jc w:val="both"/>
            </w:pPr>
            <w:r w:rsidRPr="009E1D14">
              <w:t xml:space="preserve">   Aģentūra, veicot </w:t>
            </w:r>
            <w:r w:rsidRPr="009E1D14">
              <w:rPr>
                <w:noProof/>
              </w:rPr>
              <w:t>regulā 2017/745 notektos uzdevumu</w:t>
            </w:r>
            <w:r w:rsidRPr="009E1D14">
              <w:t xml:space="preserve">s, pilnveido medicīnisko ierīču lietošanas drošības uzraudzībai (vigilancei) noteiktās prasības, kā arī attīsta konkurētspējīgu ekspertu komandu minēto funkciju nodrošināšanā. Pamatojoties uz </w:t>
            </w:r>
            <w:r w:rsidRPr="009E1D14">
              <w:rPr>
                <w:noProof/>
              </w:rPr>
              <w:t xml:space="preserve">regulas 2017/745 111.panta 1.punktu, šī </w:t>
            </w:r>
            <w:r w:rsidRPr="009E1D14">
              <w:rPr>
                <w:noProof/>
              </w:rPr>
              <w:lastRenderedPageBreak/>
              <w:t xml:space="preserve">regula neskar iespēju, ka dalībvalstis par regulā izklāstītajām darbībām iekasē maksu, ar noteikumu, ka maksas apmērs ir noteikts pārredzami un tā pamatā ir izmaksu atgūšanas princips. </w:t>
            </w:r>
          </w:p>
          <w:p w14:paraId="5CC21E0F" w14:textId="77777777" w:rsidR="007946BB" w:rsidRPr="009E1D14" w:rsidRDefault="007946BB" w:rsidP="007946BB">
            <w:pPr>
              <w:pStyle w:val="NoSpacing"/>
              <w:tabs>
                <w:tab w:val="left" w:pos="0"/>
              </w:tabs>
              <w:autoSpaceDE w:val="0"/>
              <w:autoSpaceDN w:val="0"/>
              <w:adjustRightInd w:val="0"/>
              <w:jc w:val="both"/>
            </w:pPr>
            <w:r w:rsidRPr="009E1D14">
              <w:t xml:space="preserve">   Lai stiprinātu medicīnisko ierīču lietošanas drošības uzraudzības sistēmu ES dalībvalstu tirgū un pilnīgi nodrošinātu medicīnisko ierīču vigilances prasības, kas noteiktas </w:t>
            </w:r>
            <w:r w:rsidRPr="009E1D14">
              <w:rPr>
                <w:noProof/>
              </w:rPr>
              <w:t>regulā 2017/745 un kuras piemēros no 2021.gada 26.maija</w:t>
            </w:r>
            <w:r w:rsidRPr="009E1D14">
              <w:t>, Aģentūrai ir  jāveic vairākas jaunas un esošās paplašinātas funkcijas medicīnisko ierīču vigilances jomā:</w:t>
            </w:r>
          </w:p>
          <w:p w14:paraId="1E081B9D" w14:textId="46E06ECE" w:rsidR="007946BB" w:rsidRPr="009E1D14" w:rsidRDefault="007946BB" w:rsidP="007946BB">
            <w:pPr>
              <w:spacing w:after="0" w:line="240" w:lineRule="auto"/>
              <w:jc w:val="both"/>
              <w:rPr>
                <w:rFonts w:ascii="Times New Roman" w:hAnsi="Times New Roman"/>
                <w:sz w:val="24"/>
                <w:szCs w:val="24"/>
              </w:rPr>
            </w:pPr>
            <w:r w:rsidRPr="009E1D14">
              <w:rPr>
                <w:rFonts w:ascii="Times New Roman" w:hAnsi="Times New Roman"/>
                <w:sz w:val="20"/>
                <w:szCs w:val="20"/>
              </w:rPr>
              <w:t xml:space="preserve">   ■</w:t>
            </w:r>
            <w:r w:rsidRPr="009E1D14">
              <w:rPr>
                <w:rFonts w:ascii="Times New Roman" w:hAnsi="Times New Roman"/>
                <w:sz w:val="24"/>
                <w:szCs w:val="24"/>
              </w:rPr>
              <w:t xml:space="preserve">  nopietnu negadījumu izmeklēšanas, ko veic medicīnisko ierīču ražotājs, pārraudzība un risku izvērtējums, kas izriet no nopietnajiem negadījumiem, par kuriem ir ziņots – paplašināta funkcija. Aģentūrai jāizvērtē jebkādas ar nopietnajiem negadījumiem saistītas operatīvas koriģējošas drošuma darbības, ņemot vērā sabiedrības veselības aizsardzību, kā arī </w:t>
            </w:r>
            <w:r w:rsidRPr="009E1D14">
              <w:rPr>
                <w:rFonts w:ascii="Times New Roman" w:hAnsi="Times New Roman"/>
                <w:noProof/>
                <w:sz w:val="24"/>
                <w:szCs w:val="24"/>
              </w:rPr>
              <w:t xml:space="preserve">regulā 2017/745 noteiktos  </w:t>
            </w:r>
            <w:r w:rsidRPr="009E1D14">
              <w:rPr>
                <w:rFonts w:ascii="Times New Roman" w:hAnsi="Times New Roman"/>
                <w:sz w:val="24"/>
                <w:szCs w:val="24"/>
              </w:rPr>
              <w:t xml:space="preserve">kritērijus – problēmas cēlonība, konstatējamība un tās atkārtošanās varbūtība, ierīces lietošanas biežums, tieša vai netieša kaitējuma rašanās varbūtība, minētā kaitējuma smagums, ierīces sniegtais klīniskais ieguvums, paredzētie un iespējamie lietotāji un skartie iedzīvotāji. Aģentūrai jāizvērtē arī to, cik piemērota ir ražotāja paredzētā vai veiktā operatīvā koriģējošā drošuma darbība un cik nepieciešama ir jebkāda cita koriģējoša darbība un kādai tai jābūt, jo īpaši ņemot vērā </w:t>
            </w:r>
            <w:r w:rsidRPr="009E1D14">
              <w:rPr>
                <w:rFonts w:ascii="Times New Roman" w:hAnsi="Times New Roman"/>
                <w:noProof/>
                <w:sz w:val="24"/>
                <w:szCs w:val="24"/>
              </w:rPr>
              <w:t>regulas 2017/745</w:t>
            </w:r>
            <w:r w:rsidRPr="009E1D14">
              <w:rPr>
                <w:rFonts w:ascii="Times New Roman" w:hAnsi="Times New Roman"/>
                <w:sz w:val="24"/>
                <w:szCs w:val="24"/>
              </w:rPr>
              <w:t xml:space="preserve"> I pielikumā ietverto neatņemama drošuma principu.</w:t>
            </w:r>
          </w:p>
          <w:p w14:paraId="38181AAC" w14:textId="5F3286A0" w:rsidR="007946BB" w:rsidRPr="009E1D14" w:rsidRDefault="007946BB" w:rsidP="007946BB">
            <w:pPr>
              <w:spacing w:after="0" w:line="240" w:lineRule="auto"/>
              <w:jc w:val="both"/>
              <w:rPr>
                <w:rFonts w:ascii="Times New Roman" w:hAnsi="Times New Roman"/>
                <w:sz w:val="24"/>
                <w:szCs w:val="24"/>
              </w:rPr>
            </w:pPr>
            <w:r w:rsidRPr="009E1D14">
              <w:rPr>
                <w:rFonts w:ascii="Times New Roman" w:hAnsi="Times New Roman"/>
                <w:sz w:val="20"/>
                <w:szCs w:val="20"/>
              </w:rPr>
              <w:t xml:space="preserve">   ■</w:t>
            </w:r>
            <w:r w:rsidRPr="009E1D14">
              <w:rPr>
                <w:rFonts w:ascii="Times New Roman" w:hAnsi="Times New Roman"/>
                <w:sz w:val="24"/>
                <w:szCs w:val="24"/>
              </w:rPr>
              <w:t xml:space="preserve"> dalība informācijas koordinētā izvērtēšanas procedūrā par nopietnu negadījumu vai par operatīvu koriģējošu drošuma darbību – jauna funkcija. Aģentūras ekspertiem </w:t>
            </w:r>
            <w:r w:rsidRPr="009E1D14">
              <w:rPr>
                <w:rFonts w:ascii="Times New Roman" w:hAnsi="Times New Roman"/>
                <w:noProof/>
                <w:sz w:val="24"/>
                <w:szCs w:val="24"/>
              </w:rPr>
              <w:t xml:space="preserve">regulas 2017/745 89.panta 9.punktā noteiktajos gadījumos </w:t>
            </w:r>
            <w:r w:rsidRPr="009E1D14">
              <w:rPr>
                <w:rFonts w:ascii="Times New Roman" w:hAnsi="Times New Roman"/>
                <w:sz w:val="24"/>
                <w:szCs w:val="24"/>
              </w:rPr>
              <w:t>būs aktīvi jāpiedalās negadījumu koordinētā izvērtēšanas procedūrā.</w:t>
            </w:r>
          </w:p>
          <w:p w14:paraId="0FC3FAA6" w14:textId="74A5F097" w:rsidR="007946BB" w:rsidRPr="009E1D14" w:rsidRDefault="007946BB" w:rsidP="007946BB">
            <w:pPr>
              <w:spacing w:after="0" w:line="240" w:lineRule="auto"/>
              <w:jc w:val="both"/>
              <w:rPr>
                <w:rFonts w:ascii="Times New Roman" w:hAnsi="Times New Roman"/>
                <w:sz w:val="24"/>
                <w:szCs w:val="24"/>
              </w:rPr>
            </w:pPr>
            <w:r w:rsidRPr="009E1D14">
              <w:rPr>
                <w:rFonts w:ascii="Times New Roman" w:hAnsi="Times New Roman"/>
                <w:sz w:val="20"/>
                <w:szCs w:val="20"/>
              </w:rPr>
              <w:t xml:space="preserve">   ■</w:t>
            </w:r>
            <w:r w:rsidRPr="009E1D14">
              <w:rPr>
                <w:rFonts w:ascii="Times New Roman" w:hAnsi="Times New Roman"/>
                <w:sz w:val="24"/>
                <w:szCs w:val="24"/>
              </w:rPr>
              <w:t xml:space="preserve"> ražotāja ziņojumu par tendencēm izvērtēšana – jauna funkcija. Aģentūrai jāveic novērtējums ražotāju ziņojumiem par tendencēm un jāpieprasa ražotājiem pieņemt pienācīgus pasākumus saskaņā regulu </w:t>
            </w:r>
            <w:r w:rsidRPr="009E1D14">
              <w:rPr>
                <w:rFonts w:ascii="Times New Roman" w:hAnsi="Times New Roman"/>
                <w:noProof/>
                <w:sz w:val="24"/>
                <w:szCs w:val="24"/>
              </w:rPr>
              <w:t>2017/745</w:t>
            </w:r>
            <w:r w:rsidRPr="009E1D14">
              <w:rPr>
                <w:rFonts w:ascii="Times New Roman" w:hAnsi="Times New Roman"/>
                <w:sz w:val="24"/>
                <w:szCs w:val="24"/>
              </w:rPr>
              <w:t>, lai nodrošinātu sabiedrības veselības un pacientu drošības aizsardzību. Aģentūrai jāinformē Eiropas Komisija, pārējās kompetentās iestādes un paziņotā struktūra, kas izdevusi sertifikātu, par šāda novērtējuma rezultātiem un šādu pasākumu pieņemšanu.</w:t>
            </w:r>
          </w:p>
          <w:p w14:paraId="6C7374B0" w14:textId="66692056" w:rsidR="007946BB" w:rsidRPr="009E1D14" w:rsidRDefault="007946BB" w:rsidP="007946BB">
            <w:pPr>
              <w:spacing w:after="0" w:line="240" w:lineRule="auto"/>
              <w:jc w:val="both"/>
              <w:rPr>
                <w:rFonts w:ascii="Times New Roman" w:hAnsi="Times New Roman"/>
                <w:sz w:val="24"/>
                <w:szCs w:val="24"/>
              </w:rPr>
            </w:pPr>
            <w:r w:rsidRPr="009E1D14">
              <w:rPr>
                <w:rFonts w:ascii="Times New Roman" w:hAnsi="Times New Roman"/>
                <w:sz w:val="20"/>
                <w:szCs w:val="20"/>
              </w:rPr>
              <w:t xml:space="preserve">   ■</w:t>
            </w:r>
            <w:r w:rsidRPr="009E1D14">
              <w:rPr>
                <w:rFonts w:ascii="Times New Roman" w:hAnsi="Times New Roman"/>
                <w:sz w:val="24"/>
                <w:szCs w:val="24"/>
              </w:rPr>
              <w:t xml:space="preserve"> periodisko apkopojošo ziņojumu izvērtēšana – jauna funkcija. Par līdzīgiem nopietniem negadījumiem, kuri notikuši ar vienu un to pašu medicīnisko ierīci vai ierīces tipu un attiecībā uz kuriem ir identificēts pamatcēlonis vai īstenota operatīva koriģējoša drošuma darbība, vai gadījumā, ja negadījumi ir ierasti un izsmeļoši dokumentēti, ražotājs var iesniegt periodiskus apkopojošus ziņojumus ar nosacījumu, ka Aģentūra ar ražotāju ir vienojusies par periodisko apkopojošo ziņojumu sniegšanas formātu, saturu un biežumu.</w:t>
            </w:r>
          </w:p>
          <w:p w14:paraId="24508198" w14:textId="2DACBD41" w:rsidR="007946BB" w:rsidRPr="009E1D14" w:rsidRDefault="007946BB" w:rsidP="007946BB">
            <w:pPr>
              <w:spacing w:after="0" w:line="240" w:lineRule="auto"/>
              <w:jc w:val="both"/>
              <w:rPr>
                <w:rFonts w:ascii="Times New Roman" w:hAnsi="Times New Roman"/>
                <w:sz w:val="24"/>
                <w:szCs w:val="24"/>
              </w:rPr>
            </w:pPr>
            <w:r w:rsidRPr="009E1D14">
              <w:rPr>
                <w:rFonts w:ascii="Times New Roman" w:hAnsi="Times New Roman"/>
                <w:sz w:val="20"/>
                <w:szCs w:val="20"/>
              </w:rPr>
              <w:t xml:space="preserve">   ■</w:t>
            </w:r>
            <w:r w:rsidRPr="009E1D14">
              <w:rPr>
                <w:rFonts w:ascii="Times New Roman" w:hAnsi="Times New Roman"/>
                <w:sz w:val="24"/>
                <w:szCs w:val="24"/>
              </w:rPr>
              <w:t xml:space="preserve"> vigilances datu analīze – daļēji jauna funkcija. Aģentūrai būs nepieciešams ieviest sistēmas un procesus, lai aktīvi pārraudzītu Eiropas medicīnisko ierīču datubāzes </w:t>
            </w:r>
            <w:r w:rsidRPr="009E1D14">
              <w:rPr>
                <w:rFonts w:ascii="Times New Roman" w:hAnsi="Times New Roman"/>
                <w:i/>
                <w:sz w:val="24"/>
                <w:szCs w:val="24"/>
              </w:rPr>
              <w:t>Eudamed</w:t>
            </w:r>
            <w:r w:rsidRPr="009E1D14">
              <w:rPr>
                <w:rFonts w:ascii="Times New Roman" w:hAnsi="Times New Roman"/>
                <w:sz w:val="24"/>
                <w:szCs w:val="24"/>
              </w:rPr>
              <w:t xml:space="preserve"> vigilances un pēctirgus uzraudzības elektroniskajā sistēmā pieejamos datus ar mērķi šajos datos apzināt tendences, shēmas vai signālus, kas var atklāt jaunus riskus vai ar drošību saistītas bažas.</w:t>
            </w:r>
          </w:p>
          <w:p w14:paraId="3F886F39" w14:textId="33315BF6" w:rsidR="007946BB" w:rsidRPr="009E1D14" w:rsidRDefault="007946BB" w:rsidP="007946BB">
            <w:pPr>
              <w:spacing w:after="0" w:line="240" w:lineRule="auto"/>
              <w:jc w:val="both"/>
              <w:rPr>
                <w:rFonts w:ascii="Times New Roman" w:hAnsi="Times New Roman"/>
                <w:bCs/>
                <w:sz w:val="24"/>
                <w:szCs w:val="24"/>
              </w:rPr>
            </w:pPr>
            <w:r w:rsidRPr="009E1D14">
              <w:rPr>
                <w:rFonts w:ascii="Times New Roman" w:hAnsi="Times New Roman"/>
                <w:sz w:val="20"/>
                <w:szCs w:val="20"/>
              </w:rPr>
              <w:t xml:space="preserve">   ■</w:t>
            </w:r>
            <w:r w:rsidRPr="009E1D14">
              <w:rPr>
                <w:rFonts w:ascii="Times New Roman" w:hAnsi="Times New Roman"/>
                <w:sz w:val="24"/>
                <w:szCs w:val="24"/>
              </w:rPr>
              <w:t xml:space="preserve"> dalība Medicīnisko ierīču koordinācijas grupas (MDCG), kas izveidota, pamatojoties uz </w:t>
            </w:r>
            <w:r w:rsidRPr="009E1D14">
              <w:rPr>
                <w:rFonts w:ascii="Times New Roman" w:hAnsi="Times New Roman"/>
                <w:noProof/>
                <w:sz w:val="24"/>
                <w:szCs w:val="24"/>
              </w:rPr>
              <w:t xml:space="preserve">regulas 2017/745 103.pantu, darba apakšgrupā </w:t>
            </w:r>
            <w:r w:rsidRPr="009E1D14">
              <w:rPr>
                <w:rFonts w:ascii="Times New Roman" w:hAnsi="Times New Roman"/>
                <w:color w:val="000000"/>
                <w:sz w:val="24"/>
                <w:szCs w:val="24"/>
                <w:lang w:eastAsia="lv-LV"/>
              </w:rPr>
              <w:t>"P</w:t>
            </w:r>
            <w:r w:rsidRPr="009E1D14">
              <w:rPr>
                <w:rFonts w:ascii="Times New Roman" w:hAnsi="Times New Roman"/>
                <w:sz w:val="24"/>
                <w:szCs w:val="24"/>
              </w:rPr>
              <w:t>ēctirgus uzraudzība un vigilance</w:t>
            </w:r>
            <w:r w:rsidRPr="009E1D14">
              <w:rPr>
                <w:rFonts w:ascii="Times New Roman" w:hAnsi="Times New Roman"/>
                <w:color w:val="000000"/>
                <w:sz w:val="24"/>
                <w:szCs w:val="24"/>
                <w:lang w:eastAsia="lv-LV"/>
              </w:rPr>
              <w:t>"</w:t>
            </w:r>
            <w:r w:rsidRPr="009E1D14">
              <w:rPr>
                <w:rFonts w:ascii="Times New Roman" w:hAnsi="Times New Roman"/>
                <w:sz w:val="24"/>
                <w:szCs w:val="24"/>
              </w:rPr>
              <w:t xml:space="preserve"> (WG4 - PMSV) – paplašināta </w:t>
            </w:r>
            <w:r w:rsidRPr="009E1D14">
              <w:rPr>
                <w:rFonts w:ascii="Times New Roman" w:hAnsi="Times New Roman"/>
                <w:sz w:val="24"/>
                <w:szCs w:val="24"/>
              </w:rPr>
              <w:lastRenderedPageBreak/>
              <w:t>funkcija.</w:t>
            </w:r>
            <w:r w:rsidRPr="009E1D14">
              <w:rPr>
                <w:rFonts w:ascii="Times New Roman" w:hAnsi="Times New Roman"/>
                <w:noProof/>
                <w:sz w:val="24"/>
                <w:szCs w:val="24"/>
              </w:rPr>
              <w:t xml:space="preserve"> Aģentūras </w:t>
            </w:r>
            <w:r w:rsidRPr="009E1D14">
              <w:rPr>
                <w:rFonts w:ascii="Times New Roman" w:hAnsi="Times New Roman"/>
                <w:sz w:val="24"/>
                <w:szCs w:val="24"/>
              </w:rPr>
              <w:t xml:space="preserve">deleģēto ekspertu darbs ir saistīts ar konkrētu darba uzdevumu veikšanu, izstrādāto dokumentu projektu izskatīšanu un priekšlikumu sagatavošanu, vigilances aptaujas anketu atbilžu sagatavošanu, kā arī dalību ikmēneša telekonferencēs, kas prasa Aģentūras darbinieku papildu ieguldījumu, lai </w:t>
            </w:r>
            <w:r w:rsidRPr="009E1D14">
              <w:rPr>
                <w:rFonts w:ascii="Times New Roman" w:hAnsi="Times New Roman"/>
                <w:bCs/>
                <w:sz w:val="24"/>
                <w:szCs w:val="24"/>
              </w:rPr>
              <w:t>veiktu medicīnisko ierīču vigilances datu un dokumentu vērtēšanu saspringtos termiņos.</w:t>
            </w:r>
          </w:p>
          <w:p w14:paraId="701FB0BA" w14:textId="62D66117" w:rsidR="007946BB" w:rsidRPr="009E1D14" w:rsidRDefault="007946BB" w:rsidP="007946BB">
            <w:pPr>
              <w:spacing w:after="0" w:line="240" w:lineRule="auto"/>
              <w:jc w:val="both"/>
              <w:rPr>
                <w:rFonts w:ascii="Times New Roman" w:hAnsi="Times New Roman"/>
                <w:sz w:val="24"/>
                <w:szCs w:val="24"/>
              </w:rPr>
            </w:pPr>
            <w:r w:rsidRPr="009E1D14">
              <w:rPr>
                <w:rFonts w:ascii="Times New Roman" w:hAnsi="Times New Roman"/>
                <w:sz w:val="20"/>
                <w:szCs w:val="20"/>
              </w:rPr>
              <w:t xml:space="preserve">   ■</w:t>
            </w:r>
            <w:r w:rsidRPr="009E1D14">
              <w:rPr>
                <w:rFonts w:ascii="Times New Roman" w:hAnsi="Times New Roman"/>
                <w:sz w:val="24"/>
                <w:szCs w:val="24"/>
              </w:rPr>
              <w:t xml:space="preserve"> uzlabojumu veikšana Aģentūras elektroniskajās sistēmās un minēto sistēmu uzturēšana, lai centralizēti valsts līmenī reģistrētu ziņojumus par negadījumiem ar medicīniskajām ierīcēm, ko Aģentūra saņem no veselības aprūpes speciālistiem, medicīnisko ierīču lietotājiem un pacientiem, kā arī nodrošinātu datu automātisku pārnešanu no un uz Eiropas medicīnisko ierīču datubāzi </w:t>
            </w:r>
            <w:r w:rsidRPr="009E1D14">
              <w:rPr>
                <w:rFonts w:ascii="Times New Roman" w:hAnsi="Times New Roman"/>
                <w:i/>
                <w:sz w:val="24"/>
                <w:szCs w:val="24"/>
              </w:rPr>
              <w:t>Eudamed</w:t>
            </w:r>
            <w:r w:rsidRPr="009E1D14">
              <w:rPr>
                <w:rFonts w:ascii="Times New Roman" w:hAnsi="Times New Roman"/>
                <w:sz w:val="24"/>
                <w:szCs w:val="24"/>
              </w:rPr>
              <w:t>.</w:t>
            </w:r>
          </w:p>
          <w:p w14:paraId="0ACBB34E" w14:textId="77777777" w:rsidR="007946BB" w:rsidRPr="009E1D14" w:rsidRDefault="007946BB" w:rsidP="007946BB">
            <w:pPr>
              <w:spacing w:after="0" w:line="240" w:lineRule="auto"/>
              <w:jc w:val="both"/>
              <w:rPr>
                <w:rFonts w:ascii="Times New Roman" w:hAnsi="Times New Roman"/>
                <w:sz w:val="24"/>
                <w:szCs w:val="24"/>
              </w:rPr>
            </w:pPr>
            <w:r w:rsidRPr="009E1D14">
              <w:rPr>
                <w:rFonts w:ascii="Times New Roman" w:hAnsi="Times New Roman"/>
                <w:sz w:val="20"/>
                <w:szCs w:val="20"/>
              </w:rPr>
              <w:t xml:space="preserve">   ■</w:t>
            </w:r>
            <w:r w:rsidRPr="009E1D14">
              <w:rPr>
                <w:rFonts w:ascii="Times New Roman" w:hAnsi="Times New Roman"/>
                <w:sz w:val="24"/>
                <w:szCs w:val="24"/>
              </w:rPr>
              <w:t xml:space="preserve"> Aģentūras tīmekļa vietnes uzturēšana informācijas par saņemtajiem drošuma paziņojumiem publiskošanai.</w:t>
            </w:r>
          </w:p>
          <w:p w14:paraId="40DFEB3A" w14:textId="4BAD25CB" w:rsidR="007946BB" w:rsidRPr="009E1D14" w:rsidRDefault="007946BB" w:rsidP="007946BB">
            <w:pPr>
              <w:pStyle w:val="NoSpacing"/>
              <w:jc w:val="both"/>
            </w:pPr>
            <w:r w:rsidRPr="009E1D14">
              <w:t xml:space="preserve">   Medicīnisko ierīču vigilances sistēmas darbības nodrošināšanas gada maksa tiks piemērota I klases, </w:t>
            </w:r>
            <w:r w:rsidRPr="009E1D14">
              <w:rPr>
                <w:i/>
                <w:iCs/>
              </w:rPr>
              <w:t>in vitro</w:t>
            </w:r>
            <w:r w:rsidRPr="009E1D14">
              <w:t xml:space="preserve"> diagnostikas un pēc pasūtījuma ražotu medicīnisko ierīču ražotājiem, medicīnisko ierīču (kurām ir CE marķējums) sistēmu vai procedūru komplektu komplektētājiem, kuru komercdarbības vieta reģistrēta Latvijas Republikā, trešo valstu medicīnisko ierīču ražotāju pilnvarotajiem pārstāvjiem Eiropas Savienībā, kuru komercdarbības vieta reģistrēta Latvijas Republikā, kā arī medicīnisko ierīču izplatītājiem, kuri ierīces dara pieejamas Latvijas Republikas teritorijā.</w:t>
            </w:r>
          </w:p>
          <w:p w14:paraId="4C8FAF04" w14:textId="7BDDA1F7" w:rsidR="007353D2" w:rsidRPr="009E1D14" w:rsidRDefault="007353D2" w:rsidP="007946BB">
            <w:pPr>
              <w:pStyle w:val="NoSpacing"/>
              <w:jc w:val="both"/>
            </w:pPr>
            <w:r w:rsidRPr="009E1D14">
              <w:t xml:space="preserve">Noteikumi paredz Medicīnisko ierīču vigilances sistēmas darbības nodrošināšanas gada maksu diferencēt, proti, </w:t>
            </w:r>
            <w:r w:rsidR="00027954" w:rsidRPr="009E1D14">
              <w:t xml:space="preserve">gada maksa </w:t>
            </w:r>
            <w:r w:rsidRPr="009E1D14">
              <w:t>par  I klases</w:t>
            </w:r>
            <w:r w:rsidR="00B436EC" w:rsidRPr="009E1D14">
              <w:t xml:space="preserve"> </w:t>
            </w:r>
            <w:r w:rsidRPr="009E1D14">
              <w:t xml:space="preserve">medicīnisko ierīču un citu (pārējo) </w:t>
            </w:r>
            <w:r w:rsidRPr="009E1D14">
              <w:rPr>
                <w:i/>
              </w:rPr>
              <w:t>in vitro</w:t>
            </w:r>
            <w:r w:rsidRPr="009E1D14">
              <w:t xml:space="preserve"> diagnostikas </w:t>
            </w:r>
            <w:r w:rsidR="001C169A" w:rsidRPr="009E1D14">
              <w:t xml:space="preserve"> kā zema riska </w:t>
            </w:r>
            <w:r w:rsidRPr="009E1D14">
              <w:t>medicīnisko ierīču</w:t>
            </w:r>
            <w:r w:rsidR="001C169A" w:rsidRPr="009E1D14">
              <w:t xml:space="preserve"> </w:t>
            </w:r>
            <w:r w:rsidRPr="009E1D14">
              <w:t>vigilances sistēmas darbības nodrošināšanu</w:t>
            </w:r>
            <w:r w:rsidR="00027954" w:rsidRPr="009E1D14">
              <w:t xml:space="preserve"> </w:t>
            </w:r>
            <w:r w:rsidRPr="009E1D14">
              <w:t>ir</w:t>
            </w:r>
            <w:r w:rsidR="001C169A" w:rsidRPr="009E1D14">
              <w:t xml:space="preserve"> noteikta zemāka -</w:t>
            </w:r>
            <w:r w:rsidRPr="009E1D14">
              <w:t xml:space="preserve"> </w:t>
            </w:r>
            <w:r w:rsidR="00D52E1D" w:rsidRPr="009E1D14">
              <w:t>EUR</w:t>
            </w:r>
            <w:r w:rsidR="00BB3E3F" w:rsidRPr="009E1D14">
              <w:t xml:space="preserve"> </w:t>
            </w:r>
            <w:r w:rsidR="00D52E1D" w:rsidRPr="009E1D14">
              <w:t>105,</w:t>
            </w:r>
            <w:r w:rsidR="00F7644C">
              <w:t>2</w:t>
            </w:r>
            <w:r w:rsidR="00D52E1D" w:rsidRPr="009E1D14">
              <w:t>0.</w:t>
            </w:r>
            <w:r w:rsidR="001C169A" w:rsidRPr="009E1D14">
              <w:t xml:space="preserve"> </w:t>
            </w:r>
            <w:r w:rsidR="00D52E1D" w:rsidRPr="009E1D14">
              <w:t xml:space="preserve">Savukārt </w:t>
            </w:r>
            <w:r w:rsidR="001C169A" w:rsidRPr="009E1D14">
              <w:t xml:space="preserve">gada maksa </w:t>
            </w:r>
            <w:r w:rsidR="00D52E1D" w:rsidRPr="009E1D14">
              <w:t>par IIa, IIb un III klases</w:t>
            </w:r>
            <w:r w:rsidR="001C169A" w:rsidRPr="009E1D14">
              <w:t xml:space="preserve"> </w:t>
            </w:r>
            <w:r w:rsidR="00D52E1D" w:rsidRPr="009E1D14">
              <w:t xml:space="preserve">medicīnisko ierīču, A saraksta, B saraksta un pašpārbaudes </w:t>
            </w:r>
            <w:r w:rsidR="00D52E1D" w:rsidRPr="009E1D14">
              <w:rPr>
                <w:i/>
              </w:rPr>
              <w:t>in vitro</w:t>
            </w:r>
            <w:r w:rsidR="00D52E1D" w:rsidRPr="009E1D14">
              <w:t xml:space="preserve"> diagnostikas</w:t>
            </w:r>
            <w:r w:rsidR="001C169A" w:rsidRPr="009E1D14">
              <w:t xml:space="preserve"> kā augsta riska</w:t>
            </w:r>
            <w:r w:rsidR="00D52E1D" w:rsidRPr="009E1D14">
              <w:t xml:space="preserve"> medicīnisko ierīču vigilances sistēmas darbības nodrošināšanu </w:t>
            </w:r>
            <w:r w:rsidR="001C169A" w:rsidRPr="009E1D14">
              <w:t>ir noteikta attiecīgi augstāka – EUR 20</w:t>
            </w:r>
            <w:r w:rsidR="00F7644C">
              <w:t>1</w:t>
            </w:r>
            <w:r w:rsidR="001C169A" w:rsidRPr="009E1D14">
              <w:t>,</w:t>
            </w:r>
            <w:r w:rsidR="00F7644C">
              <w:t>90</w:t>
            </w:r>
            <w:r w:rsidR="001C169A" w:rsidRPr="009E1D14">
              <w:t xml:space="preserve">. </w:t>
            </w:r>
            <w:r w:rsidR="00987C96" w:rsidRPr="009E1D14">
              <w:t>J</w:t>
            </w:r>
            <w:r w:rsidR="00DA3E60" w:rsidRPr="009E1D14">
              <w:t xml:space="preserve">a ražotājs, pilnvarotais pārstāvis vai izplatītājs </w:t>
            </w:r>
            <w:r w:rsidR="00515974" w:rsidRPr="009E1D14">
              <w:t xml:space="preserve">vienā </w:t>
            </w:r>
            <w:r w:rsidR="00DA3E60" w:rsidRPr="009E1D14">
              <w:t>iesniegumā ir norādījis</w:t>
            </w:r>
            <w:r w:rsidR="00730CD5" w:rsidRPr="009E1D14">
              <w:t xml:space="preserve"> gan zema riska klases vai </w:t>
            </w:r>
            <w:r w:rsidR="00730CD5" w:rsidRPr="009E1D14">
              <w:rPr>
                <w:i/>
                <w:iCs/>
              </w:rPr>
              <w:t>in vitro</w:t>
            </w:r>
            <w:r w:rsidR="00730CD5" w:rsidRPr="009E1D14">
              <w:t xml:space="preserve"> diagnostikas medicīnisko ierīci saskaņā ar </w:t>
            </w:r>
            <w:r w:rsidR="00515974" w:rsidRPr="009E1D14">
              <w:t xml:space="preserve">jauno </w:t>
            </w:r>
            <w:r w:rsidR="00730CD5" w:rsidRPr="009E1D14">
              <w:t xml:space="preserve">67.1.apakšpunktu, gan augsta riska klases vai </w:t>
            </w:r>
            <w:r w:rsidR="00730CD5" w:rsidRPr="009E1D14">
              <w:rPr>
                <w:i/>
                <w:iCs/>
              </w:rPr>
              <w:t>in vitro</w:t>
            </w:r>
            <w:r w:rsidR="00730CD5" w:rsidRPr="009E1D14">
              <w:t xml:space="preserve"> diagnostikas medicīnisko ierīci saskaņā ar </w:t>
            </w:r>
            <w:r w:rsidR="00515974" w:rsidRPr="009E1D14">
              <w:t xml:space="preserve"> jauno</w:t>
            </w:r>
            <w:r w:rsidR="00730CD5" w:rsidRPr="009E1D14">
              <w:t xml:space="preserve"> </w:t>
            </w:r>
            <w:r w:rsidR="002F4B18" w:rsidRPr="009E1D14">
              <w:t>67.2. apakšpunktu</w:t>
            </w:r>
            <w:r w:rsidR="00515974" w:rsidRPr="009E1D14">
              <w:t xml:space="preserve"> (noteikumu 1.1</w:t>
            </w:r>
            <w:r w:rsidR="00CA630A">
              <w:t>4</w:t>
            </w:r>
            <w:r w:rsidR="00515974" w:rsidRPr="009E1D14">
              <w:t>.apakšpunkts) un pēc iesnieguma izskatīšanas informācija ir iekļauta medicīnisko ierīču reģistra LATMED elektroniskajā datubāzē, piemēro vienu</w:t>
            </w:r>
            <w:r w:rsidR="00366495" w:rsidRPr="009E1D14">
              <w:t xml:space="preserve"> Medicīnisko ierīču vigilances sistēmas darbības nodrošināšanas</w:t>
            </w:r>
            <w:r w:rsidR="00515974" w:rsidRPr="009E1D14">
              <w:t xml:space="preserve"> gada maksu</w:t>
            </w:r>
            <w:r w:rsidR="00366495" w:rsidRPr="009E1D14">
              <w:t xml:space="preserve">, kas </w:t>
            </w:r>
            <w:r w:rsidR="001364E6" w:rsidRPr="009E1D14">
              <w:t xml:space="preserve">saskaņā ar Cenrādi būs </w:t>
            </w:r>
            <w:r w:rsidR="00366495" w:rsidRPr="009E1D14">
              <w:t>noteikta par IIa, IIb un III klases (</w:t>
            </w:r>
            <w:r w:rsidR="00AD3C73" w:rsidRPr="009E1D14">
              <w:t xml:space="preserve">ietverot </w:t>
            </w:r>
            <w:r w:rsidR="00366495" w:rsidRPr="009E1D14">
              <w:t>arī I klases) medicīnisko ierīču, A saraksta, B saraksta un pašpārbaudes</w:t>
            </w:r>
            <w:r w:rsidR="00AD3C73" w:rsidRPr="009E1D14">
              <w:t xml:space="preserve"> (ietverot arī citas (pārējās))</w:t>
            </w:r>
            <w:r w:rsidR="00366495" w:rsidRPr="009E1D14">
              <w:t xml:space="preserve"> </w:t>
            </w:r>
            <w:r w:rsidR="00366495" w:rsidRPr="009E1D14">
              <w:rPr>
                <w:i/>
              </w:rPr>
              <w:t>in vitro</w:t>
            </w:r>
            <w:r w:rsidR="00366495" w:rsidRPr="009E1D14">
              <w:t xml:space="preserve"> diagnostikas medicīnisko ierīču vigilances sistēmas darbības nodrošināšanu</w:t>
            </w:r>
            <w:r w:rsidR="007304DE" w:rsidRPr="009E1D14">
              <w:t>.</w:t>
            </w:r>
            <w:r w:rsidR="00164EC5" w:rsidRPr="009E1D14">
              <w:t xml:space="preserve">  Medicīnisko ierīču vigilances sistēmas darbības nodrošināšanas gada maksu piemēro </w:t>
            </w:r>
            <w:r w:rsidR="001E5B21" w:rsidRPr="009E1D14">
              <w:t>par pilnu</w:t>
            </w:r>
            <w:r w:rsidR="00164EC5" w:rsidRPr="009E1D14">
              <w:t xml:space="preserve"> kalendāro gadu</w:t>
            </w:r>
            <w:r w:rsidR="001E5B21" w:rsidRPr="009E1D14">
              <w:t xml:space="preserve"> saskaņā ar medicīnisko ierīču reģistra LATMED</w:t>
            </w:r>
            <w:r w:rsidR="001E5B21" w:rsidRPr="009E1D14">
              <w:rPr>
                <w:bCs/>
                <w:lang w:eastAsia="en-US"/>
              </w:rPr>
              <w:t xml:space="preserve"> pieejamajiem datiem.</w:t>
            </w:r>
          </w:p>
          <w:p w14:paraId="0E997B9B" w14:textId="16373256" w:rsidR="001C169A" w:rsidRPr="009E1D14" w:rsidRDefault="007304DE" w:rsidP="007304DE">
            <w:pPr>
              <w:pStyle w:val="tv213"/>
              <w:spacing w:before="0" w:beforeAutospacing="0" w:after="0" w:afterAutospacing="0"/>
              <w:jc w:val="both"/>
              <w:rPr>
                <w:bCs/>
                <w:lang w:eastAsia="en-US"/>
              </w:rPr>
            </w:pPr>
            <w:r w:rsidRPr="009E1D14">
              <w:rPr>
                <w:bCs/>
                <w:lang w:eastAsia="en-US"/>
              </w:rPr>
              <w:t>Pakalpojuma saņēmējs veic apmaksu par minēto pakalpojumu reizi gadā saskaņā ar Aģentūras rēķinu, kas izrakstīts atbilstoši</w:t>
            </w:r>
            <w:r w:rsidRPr="009E1D14">
              <w:t xml:space="preserve"> medicīnisko ierīču reģistra LATMED</w:t>
            </w:r>
            <w:r w:rsidRPr="009E1D14">
              <w:rPr>
                <w:bCs/>
                <w:lang w:eastAsia="en-US"/>
              </w:rPr>
              <w:t xml:space="preserve"> datiem uz kārtējā gada 1.janvāri.</w:t>
            </w:r>
          </w:p>
          <w:p w14:paraId="1C474B29" w14:textId="7DDF2E9E" w:rsidR="002D79C7" w:rsidRPr="009E1D14" w:rsidRDefault="00C111BE" w:rsidP="002D79C7">
            <w:pPr>
              <w:pStyle w:val="NoSpacing"/>
              <w:jc w:val="both"/>
            </w:pPr>
            <w:r w:rsidRPr="00C111BE">
              <w:rPr>
                <w:b/>
                <w:bCs/>
              </w:rPr>
              <w:t>Lai Cenrāža maksas pakalpojumi</w:t>
            </w:r>
            <w:r w:rsidR="004A608B">
              <w:rPr>
                <w:b/>
                <w:bCs/>
              </w:rPr>
              <w:t xml:space="preserve"> </w:t>
            </w:r>
            <w:r w:rsidRPr="00C111BE">
              <w:rPr>
                <w:b/>
                <w:bCs/>
              </w:rPr>
              <w:t>nedublētos</w:t>
            </w:r>
            <w:r>
              <w:t>, m</w:t>
            </w:r>
            <w:r w:rsidR="00927BB5" w:rsidRPr="009E1D14">
              <w:rPr>
                <w:color w:val="000000" w:themeColor="text1"/>
                <w:shd w:val="clear" w:color="auto" w:fill="FFFFFF"/>
              </w:rPr>
              <w:t>aksas pakalpojuma sniegšanai nepieciešams</w:t>
            </w:r>
            <w:r w:rsidR="00545306" w:rsidRPr="009E1D14">
              <w:rPr>
                <w:color w:val="000000" w:themeColor="text1"/>
                <w:shd w:val="clear" w:color="auto" w:fill="FFFFFF"/>
              </w:rPr>
              <w:t xml:space="preserve"> izdarīt grozījumus</w:t>
            </w:r>
            <w:r w:rsidR="00DB4A72" w:rsidRPr="009E1D14">
              <w:t xml:space="preserve">, papildinot </w:t>
            </w:r>
            <w:r w:rsidR="002D79C7" w:rsidRPr="009E1D14">
              <w:t>Cenrāža</w:t>
            </w:r>
            <w:r w:rsidR="00DB4A72" w:rsidRPr="009E1D14">
              <w:t xml:space="preserve"> pielikumu </w:t>
            </w:r>
            <w:r w:rsidR="00DB4A72" w:rsidRPr="009E1D14">
              <w:lastRenderedPageBreak/>
              <w:t>ar 67.punktu</w:t>
            </w:r>
            <w:r w:rsidR="000A39BF" w:rsidRPr="009E1D14">
              <w:t xml:space="preserve"> (noteikumu 1.1</w:t>
            </w:r>
            <w:r w:rsidR="00CA630A">
              <w:t>4</w:t>
            </w:r>
            <w:r w:rsidR="000A39BF" w:rsidRPr="009E1D14">
              <w:t>.apakšpunkts)</w:t>
            </w:r>
            <w:r w:rsidR="002D79C7" w:rsidRPr="009E1D14">
              <w:t>, kā arī attiecīgi svītrojot Cenrāža pielikuma 57.punktu</w:t>
            </w:r>
            <w:r w:rsidR="000A39BF" w:rsidRPr="009E1D14">
              <w:t xml:space="preserve"> (noteikumu 1.</w:t>
            </w:r>
            <w:r w:rsidR="00CA630A">
              <w:t>10</w:t>
            </w:r>
            <w:r w:rsidR="000A39BF" w:rsidRPr="009E1D14">
              <w:t>.apakšpunkts)</w:t>
            </w:r>
            <w:r w:rsidR="002D79C7" w:rsidRPr="009E1D14">
              <w:t>.</w:t>
            </w:r>
          </w:p>
          <w:p w14:paraId="22EF7550" w14:textId="76637711" w:rsidR="007220F0" w:rsidRPr="009E1D14" w:rsidRDefault="002D79C7" w:rsidP="001D028E">
            <w:pPr>
              <w:pStyle w:val="NoSpacing"/>
              <w:jc w:val="both"/>
            </w:pPr>
            <w:r w:rsidRPr="009E1D14">
              <w:t>Šo noteikumu 1.</w:t>
            </w:r>
            <w:r w:rsidR="00CA630A">
              <w:t>10</w:t>
            </w:r>
            <w:r w:rsidRPr="009E1D14">
              <w:t>. un 1.1</w:t>
            </w:r>
            <w:r w:rsidR="00CA630A">
              <w:t>4</w:t>
            </w:r>
            <w:r w:rsidRPr="009E1D14">
              <w:t>. apakšpunkts stājas spēkā 2022. gada 1. janvārī.</w:t>
            </w:r>
          </w:p>
          <w:p w14:paraId="4987A974" w14:textId="747C9BCF" w:rsidR="00473EE6" w:rsidRPr="009E1D14" w:rsidRDefault="00473EE6" w:rsidP="001D028E">
            <w:pPr>
              <w:pStyle w:val="NoSpacing"/>
              <w:jc w:val="both"/>
            </w:pPr>
          </w:p>
          <w:p w14:paraId="4740A46D" w14:textId="4AF395C3" w:rsidR="008C2F0D" w:rsidRPr="009E1D14" w:rsidRDefault="00EE7A0F" w:rsidP="00A8601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4"/>
                <w:szCs w:val="24"/>
              </w:rPr>
            </w:pPr>
            <w:r w:rsidRPr="009E1D14">
              <w:rPr>
                <w:rFonts w:ascii="Times New Roman" w:hAnsi="Times New Roman" w:cs="Times New Roman"/>
                <w:sz w:val="24"/>
                <w:szCs w:val="24"/>
              </w:rPr>
              <w:t>9</w:t>
            </w:r>
            <w:r w:rsidR="00473EE6" w:rsidRPr="009E1D14">
              <w:rPr>
                <w:rFonts w:ascii="Times New Roman" w:hAnsi="Times New Roman" w:cs="Times New Roman"/>
                <w:sz w:val="24"/>
                <w:szCs w:val="24"/>
              </w:rPr>
              <w:t xml:space="preserve">. </w:t>
            </w:r>
            <w:r w:rsidR="00BC36B2" w:rsidRPr="009E1D14">
              <w:rPr>
                <w:rFonts w:ascii="Times New Roman" w:hAnsi="Times New Roman" w:cs="Times New Roman"/>
                <w:sz w:val="24"/>
                <w:szCs w:val="24"/>
              </w:rPr>
              <w:t xml:space="preserve">Ievērojot </w:t>
            </w:r>
            <w:r w:rsidR="00A8601F" w:rsidRPr="009E1D14">
              <w:rPr>
                <w:rFonts w:ascii="Times New Roman" w:hAnsi="Times New Roman" w:cs="Times New Roman"/>
                <w:sz w:val="24"/>
                <w:szCs w:val="24"/>
              </w:rPr>
              <w:t>Ministru kabineta 2006.gada 31.oktobra noteikum</w:t>
            </w:r>
            <w:r w:rsidR="00BC36B2" w:rsidRPr="009E1D14">
              <w:rPr>
                <w:rFonts w:ascii="Times New Roman" w:hAnsi="Times New Roman" w:cs="Times New Roman"/>
                <w:sz w:val="24"/>
                <w:szCs w:val="24"/>
              </w:rPr>
              <w:t>u</w:t>
            </w:r>
            <w:r w:rsidR="00A8601F" w:rsidRPr="009E1D14">
              <w:rPr>
                <w:rFonts w:ascii="Times New Roman" w:hAnsi="Times New Roman" w:cs="Times New Roman"/>
                <w:sz w:val="24"/>
                <w:szCs w:val="24"/>
              </w:rPr>
              <w:t xml:space="preserve"> Nr. 899 “Ambulatorajai ārstēšanai paredzēto zāļu un medicīnisko ierīču iegādes izdevumu kompensācijas kārtība”</w:t>
            </w:r>
            <w:r w:rsidR="00185DA1" w:rsidRPr="009E1D14">
              <w:rPr>
                <w:rFonts w:ascii="Times New Roman" w:hAnsi="Times New Roman" w:cs="Times New Roman"/>
                <w:sz w:val="24"/>
                <w:szCs w:val="24"/>
              </w:rPr>
              <w:t xml:space="preserve"> (Noteikumi Nr. 899)</w:t>
            </w:r>
            <w:r w:rsidR="00A8601F" w:rsidRPr="009E1D14">
              <w:rPr>
                <w:rFonts w:ascii="Times New Roman" w:hAnsi="Times New Roman" w:cs="Times New Roman"/>
                <w:sz w:val="24"/>
                <w:szCs w:val="24"/>
              </w:rPr>
              <w:t xml:space="preserve"> 10.</w:t>
            </w:r>
            <w:r w:rsidR="00A8601F" w:rsidRPr="009E1D14">
              <w:rPr>
                <w:rFonts w:ascii="Times New Roman" w:hAnsi="Times New Roman" w:cs="Times New Roman"/>
                <w:sz w:val="24"/>
                <w:szCs w:val="24"/>
                <w:vertAlign w:val="superscript"/>
              </w:rPr>
              <w:t xml:space="preserve">3 </w:t>
            </w:r>
            <w:r w:rsidR="00A8601F" w:rsidRPr="009E1D14">
              <w:rPr>
                <w:rFonts w:ascii="Times New Roman" w:hAnsi="Times New Roman" w:cs="Times New Roman"/>
                <w:sz w:val="24"/>
                <w:szCs w:val="24"/>
              </w:rPr>
              <w:t>un 10.</w:t>
            </w:r>
            <w:r w:rsidR="00A8601F" w:rsidRPr="009E1D14">
              <w:rPr>
                <w:rFonts w:ascii="Times New Roman" w:hAnsi="Times New Roman" w:cs="Times New Roman"/>
                <w:sz w:val="24"/>
                <w:szCs w:val="24"/>
                <w:vertAlign w:val="superscript"/>
              </w:rPr>
              <w:t xml:space="preserve">4 </w:t>
            </w:r>
            <w:r w:rsidR="00A8601F" w:rsidRPr="009E1D14">
              <w:rPr>
                <w:rFonts w:ascii="Times New Roman" w:hAnsi="Times New Roman" w:cs="Times New Roman"/>
                <w:sz w:val="24"/>
                <w:szCs w:val="24"/>
              </w:rPr>
              <w:t>punktu</w:t>
            </w:r>
            <w:r w:rsidR="00BC36B2" w:rsidRPr="009E1D14">
              <w:rPr>
                <w:rFonts w:ascii="Times New Roman" w:hAnsi="Times New Roman" w:cs="Times New Roman"/>
                <w:sz w:val="24"/>
                <w:szCs w:val="24"/>
              </w:rPr>
              <w:t xml:space="preserve">, </w:t>
            </w:r>
            <w:r w:rsidR="00A8601F" w:rsidRPr="009E1D14">
              <w:rPr>
                <w:rFonts w:ascii="Times New Roman" w:hAnsi="Times New Roman" w:cs="Times New Roman"/>
                <w:sz w:val="24"/>
                <w:szCs w:val="24"/>
              </w:rPr>
              <w:t xml:space="preserve"> </w:t>
            </w:r>
            <w:r w:rsidR="00BC36B2" w:rsidRPr="009E1D14">
              <w:rPr>
                <w:rFonts w:ascii="Times New Roman" w:hAnsi="Times New Roman" w:cs="Times New Roman"/>
                <w:color w:val="000000"/>
                <w:sz w:val="24"/>
                <w:szCs w:val="24"/>
              </w:rPr>
              <w:t xml:space="preserve">Aģentūras  atzinums </w:t>
            </w:r>
            <w:r w:rsidR="008C2F0D" w:rsidRPr="009E1D14">
              <w:rPr>
                <w:rFonts w:ascii="Times New Roman" w:hAnsi="Times New Roman" w:cs="Times New Roman"/>
                <w:color w:val="000000"/>
                <w:sz w:val="24"/>
                <w:szCs w:val="24"/>
              </w:rPr>
              <w:t xml:space="preserve">tiek sagatavots pēc iesniedzēja iesnieguma un tam </w:t>
            </w:r>
            <w:r w:rsidR="00914637" w:rsidRPr="009E1D14">
              <w:rPr>
                <w:rFonts w:ascii="Times New Roman" w:hAnsi="Times New Roman" w:cs="Times New Roman"/>
                <w:color w:val="000000"/>
                <w:sz w:val="24"/>
                <w:szCs w:val="24"/>
              </w:rPr>
              <w:t>pievienotās dokumentācijas izvērtēšanas</w:t>
            </w:r>
            <w:r w:rsidR="00E137B2" w:rsidRPr="009E1D14">
              <w:rPr>
                <w:rFonts w:ascii="Times New Roman" w:hAnsi="Times New Roman" w:cs="Times New Roman"/>
                <w:color w:val="000000"/>
                <w:sz w:val="24"/>
                <w:szCs w:val="24"/>
              </w:rPr>
              <w:t xml:space="preserve">. </w:t>
            </w:r>
            <w:r w:rsidR="00185DA1" w:rsidRPr="009E1D14">
              <w:rPr>
                <w:rFonts w:ascii="Times New Roman" w:hAnsi="Times New Roman" w:cs="Times New Roman"/>
                <w:color w:val="000000"/>
                <w:sz w:val="24"/>
                <w:szCs w:val="24"/>
              </w:rPr>
              <w:t>Tā kā Aģentūra</w:t>
            </w:r>
            <w:r w:rsidR="00124430" w:rsidRPr="009E1D14">
              <w:rPr>
                <w:rFonts w:ascii="Times New Roman" w:hAnsi="Times New Roman" w:cs="Times New Roman"/>
                <w:color w:val="000000"/>
                <w:sz w:val="24"/>
                <w:szCs w:val="24"/>
              </w:rPr>
              <w:t xml:space="preserve">, </w:t>
            </w:r>
            <w:r w:rsidR="00185DA1" w:rsidRPr="009E1D14">
              <w:rPr>
                <w:rFonts w:ascii="Times New Roman" w:hAnsi="Times New Roman" w:cs="Times New Roman"/>
                <w:color w:val="000000"/>
                <w:sz w:val="24"/>
                <w:szCs w:val="24"/>
              </w:rPr>
              <w:t>ievērojot Noteikumu Nr. 899 10.</w:t>
            </w:r>
            <w:r w:rsidR="00185DA1" w:rsidRPr="009E1D14">
              <w:rPr>
                <w:rFonts w:ascii="Times New Roman" w:hAnsi="Times New Roman" w:cs="Times New Roman"/>
                <w:color w:val="000000"/>
                <w:sz w:val="24"/>
                <w:szCs w:val="24"/>
                <w:vertAlign w:val="superscript"/>
              </w:rPr>
              <w:t xml:space="preserve">9 </w:t>
            </w:r>
            <w:r w:rsidR="00185DA1" w:rsidRPr="009E1D14">
              <w:rPr>
                <w:rFonts w:ascii="Times New Roman" w:hAnsi="Times New Roman" w:cs="Times New Roman"/>
                <w:color w:val="000000"/>
                <w:sz w:val="24"/>
                <w:szCs w:val="24"/>
              </w:rPr>
              <w:t>punktā noteiktās darbības, sagatavo atzinumu</w:t>
            </w:r>
            <w:r w:rsidR="00124430" w:rsidRPr="009E1D14">
              <w:rPr>
                <w:rFonts w:ascii="Times New Roman" w:hAnsi="Times New Roman" w:cs="Times New Roman"/>
                <w:color w:val="000000"/>
                <w:sz w:val="24"/>
                <w:szCs w:val="24"/>
              </w:rPr>
              <w:t xml:space="preserve"> neatkarīgi no tā, vai Aģentūras atzinumā ir iespējams novērtēt, piemēram, zāļu izmaksu efektivitāti Latvijas veselības aprūpes sistēmai vai arī iesniegtā (pieejamā) informācija dažādu apstākļu dēļ neļauj atbildēt viennozīmīgi (piemēram, nav izvēlēta atbilstoša izmaksu efektivitātes novērtēšanas metode; nav pieejama vai nav izmantota atbilstoša klīniskā u.c. informācija, lai realizētu izvēlēto izmaksu efektivitātes novērtēšanas metodi u.c.), nepieciešams precizēt noteikumu 66.punkta nosaukumu, kā arī mērvienības nosaukumu</w:t>
            </w:r>
            <w:r w:rsidR="00515D7B" w:rsidRPr="009E1D14">
              <w:rPr>
                <w:rFonts w:ascii="Times New Roman" w:hAnsi="Times New Roman" w:cs="Times New Roman"/>
                <w:color w:val="000000"/>
                <w:sz w:val="24"/>
                <w:szCs w:val="24"/>
              </w:rPr>
              <w:t xml:space="preserve"> (noteikumu 1.</w:t>
            </w:r>
            <w:r w:rsidR="00120092" w:rsidRPr="009E1D14">
              <w:rPr>
                <w:rFonts w:ascii="Times New Roman" w:hAnsi="Times New Roman" w:cs="Times New Roman"/>
                <w:color w:val="000000"/>
                <w:sz w:val="24"/>
                <w:szCs w:val="24"/>
              </w:rPr>
              <w:t>1</w:t>
            </w:r>
            <w:r w:rsidR="00120092">
              <w:rPr>
                <w:rFonts w:ascii="Times New Roman" w:hAnsi="Times New Roman" w:cs="Times New Roman"/>
                <w:color w:val="000000"/>
                <w:sz w:val="24"/>
                <w:szCs w:val="24"/>
              </w:rPr>
              <w:t>3</w:t>
            </w:r>
            <w:r w:rsidR="00515D7B" w:rsidRPr="009E1D14">
              <w:rPr>
                <w:rFonts w:ascii="Times New Roman" w:hAnsi="Times New Roman" w:cs="Times New Roman"/>
                <w:color w:val="000000"/>
                <w:sz w:val="24"/>
                <w:szCs w:val="24"/>
              </w:rPr>
              <w:t>.apakšpunkts)</w:t>
            </w:r>
            <w:r w:rsidR="00124430" w:rsidRPr="009E1D14">
              <w:rPr>
                <w:rFonts w:ascii="Times New Roman" w:hAnsi="Times New Roman" w:cs="Times New Roman"/>
                <w:color w:val="000000"/>
                <w:sz w:val="24"/>
                <w:szCs w:val="24"/>
              </w:rPr>
              <w:t>.</w:t>
            </w:r>
          </w:p>
          <w:p w14:paraId="6B7237C7" w14:textId="70515A5F" w:rsidR="00473EE6" w:rsidRPr="009E1D14" w:rsidRDefault="00124430" w:rsidP="000B568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4"/>
                <w:szCs w:val="24"/>
              </w:rPr>
            </w:pPr>
            <w:r w:rsidRPr="009E1D14">
              <w:rPr>
                <w:rFonts w:ascii="Times New Roman" w:hAnsi="Times New Roman" w:cs="Times New Roman"/>
                <w:sz w:val="24"/>
                <w:szCs w:val="24"/>
              </w:rPr>
              <w:t>Vienlaikus, k</w:t>
            </w:r>
            <w:r w:rsidR="00A8601F" w:rsidRPr="009E1D14">
              <w:rPr>
                <w:rFonts w:ascii="Times New Roman" w:hAnsi="Times New Roman" w:cs="Times New Roman"/>
                <w:sz w:val="24"/>
                <w:szCs w:val="24"/>
              </w:rPr>
              <w:t>ā nosaka Ministru kabineta 2006.gada 31.oktobra noteikumi Nr. 899 “Ambulatorajai ārstēšanai paredzēto zāļu un medicīnisko ierīču iegādes izdevumu kompensācijas kārtība” 10.</w:t>
            </w:r>
            <w:r w:rsidR="00A8601F" w:rsidRPr="009E1D14">
              <w:rPr>
                <w:rFonts w:ascii="Times New Roman" w:hAnsi="Times New Roman" w:cs="Times New Roman"/>
                <w:sz w:val="24"/>
                <w:szCs w:val="24"/>
                <w:vertAlign w:val="superscript"/>
              </w:rPr>
              <w:t xml:space="preserve">10 </w:t>
            </w:r>
            <w:r w:rsidRPr="009E1D14">
              <w:rPr>
                <w:rFonts w:ascii="Times New Roman" w:hAnsi="Times New Roman" w:cs="Times New Roman"/>
                <w:sz w:val="24"/>
                <w:szCs w:val="24"/>
              </w:rPr>
              <w:t>punkts, A</w:t>
            </w:r>
            <w:r w:rsidR="00A8601F" w:rsidRPr="009E1D14">
              <w:rPr>
                <w:rFonts w:ascii="Times New Roman" w:hAnsi="Times New Roman" w:cs="Times New Roman"/>
                <w:sz w:val="24"/>
                <w:szCs w:val="24"/>
              </w:rPr>
              <w:t xml:space="preserve">ģentūra savā atzinumā norāda slēdzienu par zāļu vai medicīnisko ierīču izmaksu efektivitāti. </w:t>
            </w:r>
            <w:r w:rsidRPr="009E1D14">
              <w:rPr>
                <w:rFonts w:ascii="Times New Roman" w:hAnsi="Times New Roman" w:cs="Times New Roman"/>
                <w:sz w:val="24"/>
                <w:szCs w:val="24"/>
              </w:rPr>
              <w:t xml:space="preserve">Tā kā </w:t>
            </w:r>
            <w:r w:rsidR="00473EE6" w:rsidRPr="009E1D14">
              <w:rPr>
                <w:rFonts w:ascii="Times New Roman" w:hAnsi="Times New Roman" w:cs="Times New Roman"/>
                <w:color w:val="000000"/>
                <w:sz w:val="24"/>
                <w:szCs w:val="24"/>
              </w:rPr>
              <w:t>izmaksu efektivitātes novērtējums sevī jau ietver ekonomisko novērt</w:t>
            </w:r>
            <w:r w:rsidRPr="009E1D14">
              <w:rPr>
                <w:rFonts w:ascii="Times New Roman" w:hAnsi="Times New Roman" w:cs="Times New Roman"/>
                <w:color w:val="000000"/>
                <w:sz w:val="24"/>
                <w:szCs w:val="24"/>
              </w:rPr>
              <w:t>ēšanu, 66.punkt</w:t>
            </w:r>
            <w:r w:rsidR="008276F3" w:rsidRPr="009E1D14">
              <w:rPr>
                <w:rFonts w:ascii="Times New Roman" w:hAnsi="Times New Roman" w:cs="Times New Roman"/>
                <w:color w:val="000000"/>
                <w:sz w:val="24"/>
                <w:szCs w:val="24"/>
              </w:rPr>
              <w:t>a maksas pakalpojuma nosaukumā</w:t>
            </w:r>
            <w:r w:rsidRPr="009E1D14">
              <w:rPr>
                <w:rFonts w:ascii="Times New Roman" w:hAnsi="Times New Roman" w:cs="Times New Roman"/>
                <w:color w:val="000000"/>
                <w:sz w:val="24"/>
                <w:szCs w:val="24"/>
              </w:rPr>
              <w:t xml:space="preserve"> svītrots vārds</w:t>
            </w:r>
            <w:r w:rsidR="008276F3" w:rsidRPr="009E1D14">
              <w:rPr>
                <w:rFonts w:ascii="Times New Roman" w:hAnsi="Times New Roman" w:cs="Times New Roman"/>
                <w:color w:val="000000"/>
                <w:sz w:val="24"/>
                <w:szCs w:val="24"/>
              </w:rPr>
              <w:t xml:space="preserve"> </w:t>
            </w:r>
            <w:r w:rsidRPr="009E1D14">
              <w:rPr>
                <w:rFonts w:ascii="Times New Roman" w:hAnsi="Times New Roman" w:cs="Times New Roman"/>
                <w:color w:val="000000"/>
                <w:sz w:val="24"/>
                <w:szCs w:val="24"/>
              </w:rPr>
              <w:t xml:space="preserve">”ekonomisko”. </w:t>
            </w:r>
            <w:r w:rsidR="00473EE6" w:rsidRPr="009E1D14">
              <w:rPr>
                <w:rFonts w:ascii="Times New Roman" w:hAnsi="Times New Roman" w:cs="Times New Roman"/>
                <w:color w:val="000000"/>
                <w:sz w:val="24"/>
                <w:szCs w:val="24"/>
              </w:rPr>
              <w:t xml:space="preserve"> </w:t>
            </w:r>
          </w:p>
          <w:p w14:paraId="191174A5" w14:textId="77777777" w:rsidR="00EF3BF5" w:rsidRPr="009E1D14" w:rsidRDefault="00EF3BF5" w:rsidP="001D028E">
            <w:pPr>
              <w:pStyle w:val="NoSpacing"/>
              <w:jc w:val="both"/>
            </w:pPr>
          </w:p>
          <w:p w14:paraId="6481E910" w14:textId="6963B7F4" w:rsidR="00E15CBC" w:rsidRPr="009E1D14" w:rsidRDefault="00EE7A0F" w:rsidP="001D028E">
            <w:pPr>
              <w:pStyle w:val="NoSpacing"/>
              <w:jc w:val="both"/>
            </w:pPr>
            <w:r w:rsidRPr="009E1D14">
              <w:t>10</w:t>
            </w:r>
            <w:r w:rsidR="00E15CBC" w:rsidRPr="009E1D14">
              <w:t>. Eiropas Parlamenta un Padomes Regulas (ES) 2017/745, kas attiecas uz medicīniskām ierīcēm, 59.panta 1.punkts, kuru piemēro no 2020.gada 24.aprīļa, nosaka, ka atkāpjoties no šīs Regulas 52.panta vai laikposmā no 2020.gada 24.aprīļa līdz 2021.gada 25.maijam, atkāpjoties no Direktīvas 90/385/EEK 9.panta 1. un 2.punkta vai Direktīvas 93/42/EEK 11.panta 1. līdz 6.punkta, jebkura kompetentā iestāde pēc pienācīgi pamatota pieprasījuma var atļaut attiecīgās dalībvalsts teritorijā laist tirgū vai nodot ekspluatācijā tādu konkrētu ierīci, attiecībā uz kuru nav veiktas minētajos pantos norādītās procedūras, bet kuras izmantošana ir sabiedrības veselības vai pacientu drošības vai veselības interesēs.</w:t>
            </w:r>
          </w:p>
          <w:p w14:paraId="66D6FE80" w14:textId="77777777" w:rsidR="00E15CBC" w:rsidRPr="009E1D14" w:rsidRDefault="00E15CBC" w:rsidP="001D028E">
            <w:pPr>
              <w:pStyle w:val="NoSpacing"/>
              <w:jc w:val="both"/>
            </w:pPr>
            <w:r w:rsidRPr="009E1D14">
              <w:t>Saskaņā ar Regulas (ES) 2017/745 111.panta 1.punktu minētā Regula neskar iespēju, ka dalībvalstis par Regulā izklāstītajām darbībām iekasē maksu, ar noteikumu, ka maksas apmērs ir noteikts pārredzami un tā pamatā ir izmaksu atgūšanas princips.</w:t>
            </w:r>
          </w:p>
          <w:p w14:paraId="60EE5FB8" w14:textId="77777777" w:rsidR="00E15CBC" w:rsidRPr="009E1D14" w:rsidRDefault="00E15CBC" w:rsidP="001D028E">
            <w:pPr>
              <w:pStyle w:val="NoSpacing"/>
              <w:jc w:val="both"/>
            </w:pPr>
          </w:p>
          <w:p w14:paraId="33DB1346" w14:textId="7DC536E6" w:rsidR="00E15CBC" w:rsidRPr="009E1D14" w:rsidRDefault="006F1D83" w:rsidP="006F1D83">
            <w:pPr>
              <w:pStyle w:val="Heading3"/>
              <w:spacing w:before="0" w:line="240" w:lineRule="auto"/>
              <w:jc w:val="both"/>
              <w:rPr>
                <w:rFonts w:ascii="Times New Roman" w:eastAsia="Times New Roman" w:hAnsi="Times New Roman" w:cs="Times New Roman"/>
                <w:color w:val="000000" w:themeColor="text1"/>
                <w:lang w:eastAsia="lv-LV"/>
              </w:rPr>
            </w:pPr>
            <w:r w:rsidRPr="009E1D14">
              <w:rPr>
                <w:rFonts w:ascii="Times New Roman" w:hAnsi="Times New Roman" w:cs="Times New Roman"/>
                <w:color w:val="000000" w:themeColor="text1"/>
              </w:rPr>
              <w:lastRenderedPageBreak/>
              <w:t xml:space="preserve">Ar </w:t>
            </w:r>
            <w:r w:rsidR="00E15CBC" w:rsidRPr="009E1D14">
              <w:rPr>
                <w:rFonts w:ascii="Times New Roman" w:hAnsi="Times New Roman" w:cs="Times New Roman"/>
                <w:color w:val="000000" w:themeColor="text1"/>
              </w:rPr>
              <w:t xml:space="preserve">Ministru kabineta </w:t>
            </w:r>
            <w:r w:rsidRPr="009E1D14">
              <w:rPr>
                <w:rFonts w:ascii="Times New Roman" w:hAnsi="Times New Roman" w:cs="Times New Roman"/>
                <w:color w:val="000000" w:themeColor="text1"/>
              </w:rPr>
              <w:t xml:space="preserve">2020.gada 23.aprīļa </w:t>
            </w:r>
            <w:r w:rsidR="00E15CBC" w:rsidRPr="009E1D14">
              <w:rPr>
                <w:rFonts w:ascii="Times New Roman" w:hAnsi="Times New Roman" w:cs="Times New Roman"/>
                <w:color w:val="000000" w:themeColor="text1"/>
              </w:rPr>
              <w:t>noteikum</w:t>
            </w:r>
            <w:r w:rsidRPr="009E1D14">
              <w:rPr>
                <w:rFonts w:ascii="Times New Roman" w:hAnsi="Times New Roman" w:cs="Times New Roman"/>
                <w:color w:val="000000" w:themeColor="text1"/>
              </w:rPr>
              <w:t xml:space="preserve">iem Nr. 233 </w:t>
            </w:r>
            <w:r w:rsidR="00E15CBC" w:rsidRPr="009E1D14">
              <w:rPr>
                <w:rFonts w:ascii="Times New Roman" w:hAnsi="Times New Roman" w:cs="Times New Roman"/>
                <w:color w:val="000000" w:themeColor="text1"/>
              </w:rPr>
              <w:t xml:space="preserve"> </w:t>
            </w:r>
            <w:r w:rsidR="000C6AFD" w:rsidRPr="009E1D14">
              <w:rPr>
                <w:rFonts w:ascii="Times New Roman" w:hAnsi="Times New Roman" w:cs="Times New Roman"/>
                <w:color w:val="000000" w:themeColor="text1"/>
              </w:rPr>
              <w:t>“</w:t>
            </w:r>
            <w:r w:rsidRPr="009E1D14">
              <w:rPr>
                <w:rFonts w:ascii="Times New Roman" w:eastAsia="Times New Roman" w:hAnsi="Times New Roman" w:cs="Times New Roman"/>
                <w:color w:val="000000" w:themeColor="text1"/>
                <w:lang w:eastAsia="lv-LV"/>
              </w:rPr>
              <w:t>Grozījumi Ministru kabineta 2017. gada 28. novembra noteikumos Nr. 689 "</w:t>
            </w:r>
            <w:hyperlink r:id="rId9" w:tgtFrame="_blank" w:history="1">
              <w:r w:rsidRPr="009E1D14">
                <w:rPr>
                  <w:rFonts w:ascii="Times New Roman" w:eastAsia="Times New Roman" w:hAnsi="Times New Roman" w:cs="Times New Roman"/>
                  <w:color w:val="000000" w:themeColor="text1"/>
                  <w:lang w:eastAsia="lv-LV"/>
                </w:rPr>
                <w:t>Medicīnisko ierīču reģistrācijas, atbilstības novērtēšanas, izplatīšanas, ekspluatācijas un tehniskās uzraudzības kārtība</w:t>
              </w:r>
            </w:hyperlink>
            <w:r w:rsidRPr="009E1D14">
              <w:rPr>
                <w:rFonts w:ascii="Times New Roman" w:eastAsia="Times New Roman" w:hAnsi="Times New Roman" w:cs="Times New Roman"/>
                <w:color w:val="000000" w:themeColor="text1"/>
                <w:lang w:eastAsia="lv-LV"/>
              </w:rPr>
              <w:t>"</w:t>
            </w:r>
            <w:r w:rsidR="000C6AFD" w:rsidRPr="009E1D14">
              <w:rPr>
                <w:rFonts w:ascii="Times New Roman" w:eastAsia="Times New Roman" w:hAnsi="Times New Roman" w:cs="Times New Roman"/>
                <w:color w:val="000000" w:themeColor="text1"/>
                <w:lang w:eastAsia="lv-LV"/>
              </w:rPr>
              <w:t>”</w:t>
            </w:r>
            <w:r w:rsidRPr="009E1D14">
              <w:rPr>
                <w:rFonts w:ascii="Times New Roman" w:eastAsia="Times New Roman" w:hAnsi="Times New Roman" w:cs="Times New Roman"/>
                <w:color w:val="000000" w:themeColor="text1"/>
                <w:lang w:eastAsia="lv-LV"/>
              </w:rPr>
              <w:t xml:space="preserve"> tika veikti grozījumi, kur minēto noteikumu </w:t>
            </w:r>
            <w:r w:rsidR="00E15CBC" w:rsidRPr="009E1D14">
              <w:rPr>
                <w:rFonts w:ascii="Times New Roman" w:hAnsi="Times New Roman" w:cs="Times New Roman"/>
                <w:color w:val="000000" w:themeColor="text1"/>
              </w:rPr>
              <w:t>124.</w:t>
            </w:r>
            <w:r w:rsidR="00E15CBC" w:rsidRPr="009E1D14">
              <w:rPr>
                <w:rFonts w:ascii="Times New Roman" w:hAnsi="Times New Roman" w:cs="Times New Roman"/>
                <w:color w:val="000000" w:themeColor="text1"/>
                <w:vertAlign w:val="superscript"/>
              </w:rPr>
              <w:t>1</w:t>
            </w:r>
            <w:r w:rsidR="00E15CBC" w:rsidRPr="009E1D14">
              <w:rPr>
                <w:rFonts w:ascii="Times New Roman" w:hAnsi="Times New Roman" w:cs="Times New Roman"/>
                <w:color w:val="000000" w:themeColor="text1"/>
              </w:rPr>
              <w:t xml:space="preserve"> punkts nosaka, ka </w:t>
            </w:r>
            <w:r w:rsidR="00BF3861">
              <w:rPr>
                <w:rFonts w:ascii="Times New Roman" w:hAnsi="Times New Roman" w:cs="Times New Roman"/>
                <w:color w:val="000000" w:themeColor="text1"/>
              </w:rPr>
              <w:t>A</w:t>
            </w:r>
            <w:r w:rsidR="00E15CBC" w:rsidRPr="009E1D14">
              <w:rPr>
                <w:rFonts w:ascii="Times New Roman" w:hAnsi="Times New Roman" w:cs="Times New Roman"/>
                <w:color w:val="000000" w:themeColor="text1"/>
              </w:rPr>
              <w:t xml:space="preserve">ģentūra var izsniegt atļauju laist tirgū vai izmantot atsevišķas medicīniskās ierīces vai </w:t>
            </w:r>
            <w:r w:rsidR="00E15CBC" w:rsidRPr="009E1D14">
              <w:rPr>
                <w:rFonts w:ascii="Times New Roman" w:hAnsi="Times New Roman" w:cs="Times New Roman"/>
                <w:i/>
                <w:color w:val="000000" w:themeColor="text1"/>
              </w:rPr>
              <w:t>in vitro</w:t>
            </w:r>
            <w:r w:rsidR="00E15CBC" w:rsidRPr="009E1D14">
              <w:rPr>
                <w:rFonts w:ascii="Times New Roman" w:hAnsi="Times New Roman" w:cs="Times New Roman"/>
                <w:color w:val="000000" w:themeColor="text1"/>
              </w:rPr>
              <w:t xml:space="preserve"> diagnostikas medicīniskās ierīces, kurām nav veiktas šajos noteikumos minētās atbilstības novērtēšanas procedūras un kuras nav marķētas ar CE marķējumu, bet kuru izmantošanai ir būtiska nozīme veselības aizsardzības interesēs. Minēto noteikumu 125.punkts nosaka, ka šo noteikumu 124.</w:t>
            </w:r>
            <w:r w:rsidR="00E15CBC" w:rsidRPr="009E1D14">
              <w:rPr>
                <w:rFonts w:ascii="Times New Roman" w:hAnsi="Times New Roman" w:cs="Times New Roman"/>
                <w:color w:val="000000" w:themeColor="text1"/>
                <w:vertAlign w:val="superscript"/>
              </w:rPr>
              <w:t>2</w:t>
            </w:r>
            <w:r w:rsidR="00E15CBC" w:rsidRPr="009E1D14">
              <w:rPr>
                <w:rFonts w:ascii="Times New Roman" w:hAnsi="Times New Roman" w:cs="Times New Roman"/>
                <w:color w:val="000000" w:themeColor="text1"/>
              </w:rPr>
              <w:t xml:space="preserve"> punktā minētās informācijas un dokumentu izskatīšana un lēmuma pieņemšana ir aģentūras maksas pakalpojums.</w:t>
            </w:r>
          </w:p>
          <w:p w14:paraId="767F40D0" w14:textId="77777777" w:rsidR="00E15CBC" w:rsidRPr="009E1D14" w:rsidRDefault="00E15CBC" w:rsidP="00E15CBC">
            <w:pPr>
              <w:pStyle w:val="NoSpacing"/>
              <w:jc w:val="both"/>
            </w:pPr>
          </w:p>
          <w:p w14:paraId="3BD0DEA3" w14:textId="29A58697" w:rsidR="007723BA" w:rsidRPr="009E1D14" w:rsidRDefault="00E15CBC" w:rsidP="00786866">
            <w:pPr>
              <w:pStyle w:val="NoSpacing"/>
              <w:jc w:val="both"/>
            </w:pPr>
            <w:r w:rsidRPr="009E1D14">
              <w:t xml:space="preserve">Ņemot vērā minēto, gadījumos, ja medicīniskajai ierīcei nav veiktas normatīvajos aktos paredzētās atbilstības novērtēšanas procedūras un tā nav marķēta ar CE marķējumu, bet ierīces izmantošana ir sabiedrības veselības vai pacientu drošības vai veselības aizsardzības interesēs (piemēram,  ierīces izmantošana mazina iespēju pacientiem veselības aprūpes pakalpojumus saņemt novēloti, tādējādi novēršot pacientu veselības stāvokļa pasliktināšanos, kā arī nodrošina iespēju ārstniecības personām sniegt nepieciešamo veselības aprūpi), </w:t>
            </w:r>
            <w:r w:rsidR="00BF3861">
              <w:t>A</w:t>
            </w:r>
            <w:r w:rsidRPr="009E1D14">
              <w:t>ģentūra, veicot iesniegtās dokumentācijas ekspertīzi, tostarp, izvērtējot visus iespējamos riskus un prognozējamos ieguvumus, var pieņemt lēmumu par atļaujas izsniegšanu laist tirgū vai izmantot konkrēto medicīnisko ierīci</w:t>
            </w:r>
            <w:r w:rsidR="004B0736" w:rsidRPr="009E1D14">
              <w:t xml:space="preserve"> vai </w:t>
            </w:r>
            <w:r w:rsidR="004B0736" w:rsidRPr="009E1D14">
              <w:rPr>
                <w:i/>
                <w:iCs/>
              </w:rPr>
              <w:t xml:space="preserve">in vitro </w:t>
            </w:r>
            <w:r w:rsidR="004B0736" w:rsidRPr="009E1D14">
              <w:t>diagnostikas medicīnisko ierīci</w:t>
            </w:r>
            <w:r w:rsidRPr="009E1D14">
              <w:t xml:space="preserve">. Par pieņemto lēmumu </w:t>
            </w:r>
            <w:r w:rsidR="00BF3861">
              <w:t>A</w:t>
            </w:r>
            <w:r w:rsidRPr="009E1D14">
              <w:t xml:space="preserve">ģentūra informē Eiropas Komisiju un pārējās Eiropas Savienības dalībvalstis.  </w:t>
            </w:r>
            <w:r w:rsidR="002C6CD4" w:rsidRPr="009E1D14">
              <w:t>Līdz ar to nepieciešam</w:t>
            </w:r>
            <w:r w:rsidR="000B5688" w:rsidRPr="009E1D14">
              <w:t>s</w:t>
            </w:r>
            <w:r w:rsidR="002C6CD4" w:rsidRPr="009E1D14">
              <w:t xml:space="preserve"> veikt grozījumus Cenrādī, papildinot pielikumu ar 68.punktu (noteikumu 1.1</w:t>
            </w:r>
            <w:r w:rsidR="0030289B" w:rsidRPr="009E1D14">
              <w:t>4</w:t>
            </w:r>
            <w:r w:rsidR="002C6CD4" w:rsidRPr="009E1D14">
              <w:t>.apakšpunkts).</w:t>
            </w:r>
          </w:p>
        </w:tc>
      </w:tr>
      <w:tr w:rsidR="007723BA" w:rsidRPr="00C918F0" w14:paraId="125E81D9" w14:textId="77777777" w:rsidTr="000D5765">
        <w:trPr>
          <w:trHeight w:val="372"/>
        </w:trPr>
        <w:tc>
          <w:tcPr>
            <w:tcW w:w="126" w:type="pct"/>
            <w:tcBorders>
              <w:top w:val="outset" w:sz="6" w:space="0" w:color="414142"/>
              <w:left w:val="outset" w:sz="6" w:space="0" w:color="414142"/>
              <w:bottom w:val="outset" w:sz="6" w:space="0" w:color="414142"/>
              <w:right w:val="outset" w:sz="6" w:space="0" w:color="414142"/>
            </w:tcBorders>
            <w:hideMark/>
          </w:tcPr>
          <w:p w14:paraId="4EBA103B" w14:textId="77777777" w:rsidR="007723BA" w:rsidRPr="00C918F0" w:rsidRDefault="007723BA" w:rsidP="0063062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lastRenderedPageBreak/>
              <w:t>3.</w:t>
            </w:r>
          </w:p>
        </w:tc>
        <w:tc>
          <w:tcPr>
            <w:tcW w:w="923" w:type="pct"/>
            <w:tcBorders>
              <w:top w:val="outset" w:sz="6" w:space="0" w:color="414142"/>
              <w:left w:val="outset" w:sz="6" w:space="0" w:color="414142"/>
              <w:bottom w:val="outset" w:sz="6" w:space="0" w:color="414142"/>
              <w:right w:val="outset" w:sz="6" w:space="0" w:color="414142"/>
            </w:tcBorders>
            <w:hideMark/>
          </w:tcPr>
          <w:p w14:paraId="530D785B" w14:textId="77777777" w:rsidR="007723BA" w:rsidRPr="00C918F0" w:rsidRDefault="007723BA" w:rsidP="00630627">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Projekta izstrādē iesaistītās institūcijas</w:t>
            </w:r>
          </w:p>
        </w:tc>
        <w:tc>
          <w:tcPr>
            <w:tcW w:w="3951" w:type="pct"/>
            <w:tcBorders>
              <w:top w:val="outset" w:sz="6" w:space="0" w:color="414142"/>
              <w:left w:val="outset" w:sz="6" w:space="0" w:color="414142"/>
              <w:bottom w:val="outset" w:sz="6" w:space="0" w:color="414142"/>
              <w:right w:val="outset" w:sz="6" w:space="0" w:color="414142"/>
            </w:tcBorders>
            <w:hideMark/>
          </w:tcPr>
          <w:p w14:paraId="46CF1B7E" w14:textId="2C6BF470" w:rsidR="007723BA" w:rsidRPr="00C918F0" w:rsidRDefault="007723BA" w:rsidP="0063062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Zāļu valsts aģentūra</w:t>
            </w:r>
          </w:p>
        </w:tc>
      </w:tr>
      <w:tr w:rsidR="007723BA" w:rsidRPr="00C918F0" w14:paraId="49A7004C" w14:textId="77777777" w:rsidTr="000D5765">
        <w:tc>
          <w:tcPr>
            <w:tcW w:w="126" w:type="pct"/>
            <w:tcBorders>
              <w:top w:val="outset" w:sz="6" w:space="0" w:color="414142"/>
              <w:left w:val="outset" w:sz="6" w:space="0" w:color="414142"/>
              <w:bottom w:val="outset" w:sz="6" w:space="0" w:color="414142"/>
              <w:right w:val="outset" w:sz="6" w:space="0" w:color="414142"/>
            </w:tcBorders>
            <w:hideMark/>
          </w:tcPr>
          <w:p w14:paraId="4EA829D6" w14:textId="77777777" w:rsidR="007723BA" w:rsidRPr="00C918F0" w:rsidRDefault="007723BA" w:rsidP="0063062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4.</w:t>
            </w:r>
          </w:p>
        </w:tc>
        <w:tc>
          <w:tcPr>
            <w:tcW w:w="923" w:type="pct"/>
            <w:tcBorders>
              <w:top w:val="outset" w:sz="6" w:space="0" w:color="414142"/>
              <w:left w:val="outset" w:sz="6" w:space="0" w:color="414142"/>
              <w:bottom w:val="outset" w:sz="6" w:space="0" w:color="414142"/>
              <w:right w:val="outset" w:sz="6" w:space="0" w:color="414142"/>
            </w:tcBorders>
            <w:hideMark/>
          </w:tcPr>
          <w:p w14:paraId="2459E5F0" w14:textId="77777777" w:rsidR="007723BA" w:rsidRPr="00C918F0" w:rsidRDefault="007723BA" w:rsidP="00630627">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Cita informācija</w:t>
            </w:r>
          </w:p>
        </w:tc>
        <w:tc>
          <w:tcPr>
            <w:tcW w:w="3951" w:type="pct"/>
            <w:tcBorders>
              <w:top w:val="outset" w:sz="6" w:space="0" w:color="414142"/>
              <w:left w:val="outset" w:sz="6" w:space="0" w:color="414142"/>
              <w:bottom w:val="outset" w:sz="6" w:space="0" w:color="414142"/>
              <w:right w:val="outset" w:sz="6" w:space="0" w:color="414142"/>
            </w:tcBorders>
          </w:tcPr>
          <w:p w14:paraId="27D6F0F2" w14:textId="77777777" w:rsidR="007723BA" w:rsidRDefault="007723BA" w:rsidP="00630627">
            <w:pPr>
              <w:spacing w:after="0" w:line="240" w:lineRule="auto"/>
              <w:jc w:val="both"/>
              <w:rPr>
                <w:rFonts w:ascii="Times New Roman" w:eastAsia="Times New Roman" w:hAnsi="Times New Roman" w:cs="Times New Roman"/>
                <w:color w:val="414142"/>
                <w:sz w:val="24"/>
                <w:szCs w:val="24"/>
                <w:lang w:eastAsia="lv-LV"/>
              </w:rPr>
            </w:pPr>
            <w:r>
              <w:rPr>
                <w:rFonts w:ascii="Times New Roman" w:hAnsi="Times New Roman"/>
                <w:sz w:val="24"/>
                <w:szCs w:val="24"/>
              </w:rPr>
              <w:t>Nav</w:t>
            </w:r>
          </w:p>
          <w:p w14:paraId="7BE635B3" w14:textId="77777777" w:rsidR="007723BA" w:rsidRPr="00894C55" w:rsidRDefault="007723BA" w:rsidP="00630627">
            <w:pPr>
              <w:spacing w:after="0" w:line="240" w:lineRule="auto"/>
              <w:rPr>
                <w:rFonts w:ascii="Times New Roman" w:eastAsia="Times New Roman" w:hAnsi="Times New Roman" w:cs="Times New Roman"/>
                <w:color w:val="414142"/>
                <w:sz w:val="24"/>
                <w:szCs w:val="24"/>
                <w:lang w:eastAsia="lv-LV"/>
              </w:rPr>
            </w:pPr>
          </w:p>
        </w:tc>
      </w:tr>
    </w:tbl>
    <w:p w14:paraId="26C34F95" w14:textId="77777777" w:rsidR="007723BA" w:rsidRPr="00894C55" w:rsidRDefault="007723BA" w:rsidP="007723BA">
      <w:pPr>
        <w:shd w:val="clear" w:color="auto" w:fill="FFFFFF"/>
        <w:spacing w:after="0" w:line="240" w:lineRule="auto"/>
        <w:rPr>
          <w:rFonts w:ascii="Times New Roman" w:eastAsia="Times New Roman" w:hAnsi="Times New Roman" w:cs="Times New Roman"/>
          <w:color w:val="414142"/>
          <w:sz w:val="24"/>
          <w:szCs w:val="24"/>
          <w:lang w:eastAsia="lv-LV"/>
        </w:rPr>
      </w:pPr>
    </w:p>
    <w:tbl>
      <w:tblPr>
        <w:tblW w:w="5323" w:type="pct"/>
        <w:tblInd w:w="-292"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9"/>
        <w:gridCol w:w="2693"/>
        <w:gridCol w:w="6378"/>
      </w:tblGrid>
      <w:tr w:rsidR="007723BA" w:rsidRPr="003429ED" w14:paraId="47EC17EA" w14:textId="77777777" w:rsidTr="00630627">
        <w:trPr>
          <w:trHeight w:val="44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DD0D727" w14:textId="77777777" w:rsidR="007723BA" w:rsidRDefault="007723BA" w:rsidP="00630627">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429ED">
              <w:rPr>
                <w:rFonts w:ascii="Times New Roman" w:eastAsia="Times New Roman" w:hAnsi="Times New Roman" w:cs="Times New Roman"/>
                <w:b/>
                <w:bCs/>
                <w:sz w:val="24"/>
                <w:szCs w:val="24"/>
                <w:lang w:eastAsia="lv-LV"/>
              </w:rPr>
              <w:t>II. Tiesību akta projekta ietekme uz sabiedrību, tautsaimniecības attīstību un administratīvo slogu</w:t>
            </w:r>
          </w:p>
          <w:p w14:paraId="3FDACCB5" w14:textId="77777777" w:rsidR="007723BA" w:rsidRPr="001B331F" w:rsidRDefault="007723BA" w:rsidP="00630627">
            <w:pPr>
              <w:rPr>
                <w:rFonts w:ascii="Times New Roman" w:eastAsia="Times New Roman" w:hAnsi="Times New Roman" w:cs="Times New Roman"/>
                <w:sz w:val="24"/>
                <w:szCs w:val="24"/>
                <w:lang w:eastAsia="lv-LV"/>
              </w:rPr>
            </w:pPr>
          </w:p>
        </w:tc>
      </w:tr>
      <w:tr w:rsidR="007723BA" w:rsidRPr="003429ED" w14:paraId="5C79ACD3" w14:textId="77777777" w:rsidTr="00630627">
        <w:trPr>
          <w:trHeight w:val="372"/>
        </w:trPr>
        <w:tc>
          <w:tcPr>
            <w:tcW w:w="295" w:type="pct"/>
            <w:tcBorders>
              <w:top w:val="outset" w:sz="6" w:space="0" w:color="414142"/>
              <w:left w:val="outset" w:sz="6" w:space="0" w:color="414142"/>
              <w:bottom w:val="outset" w:sz="6" w:space="0" w:color="414142"/>
              <w:right w:val="outset" w:sz="6" w:space="0" w:color="414142"/>
            </w:tcBorders>
            <w:hideMark/>
          </w:tcPr>
          <w:p w14:paraId="475E55E2"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1.</w:t>
            </w:r>
          </w:p>
        </w:tc>
        <w:tc>
          <w:tcPr>
            <w:tcW w:w="1397" w:type="pct"/>
            <w:tcBorders>
              <w:top w:val="outset" w:sz="6" w:space="0" w:color="414142"/>
              <w:left w:val="outset" w:sz="6" w:space="0" w:color="414142"/>
              <w:bottom w:val="outset" w:sz="6" w:space="0" w:color="414142"/>
              <w:right w:val="outset" w:sz="6" w:space="0" w:color="414142"/>
            </w:tcBorders>
            <w:hideMark/>
          </w:tcPr>
          <w:p w14:paraId="09118BD5"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Sabiedrības mērķgrupas, kuras tiesiskais regulējums ietekmē vai varētu ietekmēt</w:t>
            </w:r>
          </w:p>
        </w:tc>
        <w:tc>
          <w:tcPr>
            <w:tcW w:w="3309" w:type="pct"/>
            <w:tcBorders>
              <w:top w:val="outset" w:sz="6" w:space="0" w:color="414142"/>
              <w:left w:val="outset" w:sz="6" w:space="0" w:color="414142"/>
              <w:bottom w:val="outset" w:sz="6" w:space="0" w:color="414142"/>
              <w:right w:val="outset" w:sz="6" w:space="0" w:color="414142"/>
            </w:tcBorders>
          </w:tcPr>
          <w:p w14:paraId="6AF0C0E7" w14:textId="2F6F0481" w:rsidR="00526193" w:rsidRDefault="00526193" w:rsidP="0063062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Reģistrācijas apliecības īpašnieki, to pilnvarotie pārstāvji;</w:t>
            </w:r>
          </w:p>
          <w:p w14:paraId="453C16D4" w14:textId="7D9686B2" w:rsidR="00057B56" w:rsidRDefault="00526193" w:rsidP="0036309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Medicīnisko ierīču ražotāji, ražotāju pilnvarotie pārstāvji, izplatītāji, importētāji, kas iesniedz iesniegumu, lai saņemtu atļauju laist tirgū</w:t>
            </w:r>
            <w:r w:rsidR="0036309B">
              <w:rPr>
                <w:rFonts w:ascii="Times New Roman" w:hAnsi="Times New Roman" w:cs="Times New Roman"/>
                <w:iCs/>
                <w:sz w:val="24"/>
                <w:szCs w:val="24"/>
              </w:rPr>
              <w:t>,</w:t>
            </w:r>
            <w:r>
              <w:rPr>
                <w:rFonts w:ascii="Times New Roman" w:hAnsi="Times New Roman" w:cs="Times New Roman"/>
                <w:iCs/>
                <w:sz w:val="24"/>
                <w:szCs w:val="24"/>
              </w:rPr>
              <w:t xml:space="preserve"> </w:t>
            </w:r>
            <w:r w:rsidR="0036309B" w:rsidRPr="0036309B">
              <w:rPr>
                <w:rFonts w:ascii="Times New Roman" w:hAnsi="Times New Roman" w:cs="Times New Roman"/>
                <w:sz w:val="24"/>
                <w:szCs w:val="24"/>
              </w:rPr>
              <w:t xml:space="preserve">nodot ekspluatācijā vai izmantot </w:t>
            </w:r>
            <w:r w:rsidRPr="0036309B">
              <w:rPr>
                <w:rFonts w:ascii="Times New Roman" w:hAnsi="Times New Roman" w:cs="Times New Roman"/>
                <w:iCs/>
                <w:sz w:val="24"/>
                <w:szCs w:val="24"/>
              </w:rPr>
              <w:t>atsevišķas medicīniskās ierīces v</w:t>
            </w:r>
            <w:r>
              <w:rPr>
                <w:rFonts w:ascii="Times New Roman" w:hAnsi="Times New Roman" w:cs="Times New Roman"/>
                <w:iCs/>
                <w:sz w:val="24"/>
                <w:szCs w:val="24"/>
              </w:rPr>
              <w:t>ai in vitro diagnostikas medicīniskās ierīces, kurām  nav veiktas šajos noteikumos minētās atbilstības novērtēšanas procedūras un kuras nav marķētas ar CE marķējumu, bet kuru izmantošana ir veselības aizsardzības interesēs</w:t>
            </w:r>
            <w:r w:rsidR="00057B56">
              <w:rPr>
                <w:rFonts w:ascii="Times New Roman" w:hAnsi="Times New Roman" w:cs="Times New Roman"/>
                <w:iCs/>
                <w:sz w:val="24"/>
                <w:szCs w:val="24"/>
              </w:rPr>
              <w:t>;</w:t>
            </w:r>
          </w:p>
          <w:p w14:paraId="12BA4CA2" w14:textId="77777777" w:rsidR="005904FE" w:rsidRDefault="005904FE" w:rsidP="0036309B">
            <w:pPr>
              <w:spacing w:after="0" w:line="240" w:lineRule="auto"/>
              <w:jc w:val="both"/>
              <w:rPr>
                <w:rFonts w:ascii="Times New Roman" w:hAnsi="Times New Roman" w:cs="Times New Roman"/>
                <w:iCs/>
                <w:sz w:val="24"/>
                <w:szCs w:val="24"/>
              </w:rPr>
            </w:pPr>
          </w:p>
          <w:p w14:paraId="689E13D2" w14:textId="77777777" w:rsidR="005904FE" w:rsidRDefault="00B413C4" w:rsidP="0036309B">
            <w:pPr>
              <w:spacing w:after="0" w:line="240" w:lineRule="auto"/>
              <w:jc w:val="both"/>
              <w:rPr>
                <w:rFonts w:ascii="Times New Roman" w:hAnsi="Times New Roman" w:cs="Times New Roman"/>
                <w:iCs/>
                <w:sz w:val="24"/>
                <w:szCs w:val="24"/>
              </w:rPr>
            </w:pPr>
            <w:r w:rsidRPr="00312152">
              <w:rPr>
                <w:rFonts w:ascii="Times New Roman" w:hAnsi="Times New Roman" w:cs="Times New Roman"/>
                <w:iCs/>
                <w:sz w:val="24"/>
                <w:szCs w:val="24"/>
              </w:rPr>
              <w:t>zāļu reģistrācijas apliecības īpašnieki, to pilnvarotie pārstāvji</w:t>
            </w:r>
            <w:r w:rsidR="00057B56">
              <w:rPr>
                <w:rFonts w:ascii="Times New Roman" w:hAnsi="Times New Roman" w:cs="Times New Roman"/>
                <w:iCs/>
                <w:sz w:val="24"/>
                <w:szCs w:val="24"/>
              </w:rPr>
              <w:t>;</w:t>
            </w:r>
          </w:p>
          <w:p w14:paraId="789E2026" w14:textId="17B44809" w:rsidR="00057B56" w:rsidRDefault="00B413C4" w:rsidP="0036309B">
            <w:pPr>
              <w:spacing w:after="0" w:line="240" w:lineRule="auto"/>
              <w:jc w:val="both"/>
              <w:rPr>
                <w:rFonts w:ascii="Times New Roman" w:hAnsi="Times New Roman" w:cs="Times New Roman"/>
                <w:iCs/>
                <w:sz w:val="24"/>
                <w:szCs w:val="24"/>
              </w:rPr>
            </w:pPr>
            <w:r w:rsidRPr="00312152">
              <w:rPr>
                <w:rFonts w:ascii="Times New Roman" w:hAnsi="Times New Roman" w:cs="Times New Roman"/>
                <w:iCs/>
                <w:sz w:val="24"/>
                <w:szCs w:val="24"/>
              </w:rPr>
              <w:t>lieltirgotavas, zāļu vai aktīvo vielu, vai palīgvielu ražošanas vai importēšanas uzņēmum</w:t>
            </w:r>
            <w:r w:rsidR="00E1613D">
              <w:rPr>
                <w:rFonts w:ascii="Times New Roman" w:hAnsi="Times New Roman" w:cs="Times New Roman"/>
                <w:iCs/>
                <w:sz w:val="24"/>
                <w:szCs w:val="24"/>
              </w:rPr>
              <w:t xml:space="preserve">i; </w:t>
            </w:r>
          </w:p>
          <w:p w14:paraId="7A3C4BAC" w14:textId="77777777" w:rsidR="005904FE" w:rsidRDefault="005904FE" w:rsidP="0036309B">
            <w:pPr>
              <w:spacing w:after="0" w:line="240" w:lineRule="auto"/>
              <w:jc w:val="both"/>
              <w:rPr>
                <w:rFonts w:ascii="Times New Roman" w:hAnsi="Times New Roman" w:cs="Times New Roman"/>
                <w:iCs/>
                <w:sz w:val="24"/>
                <w:szCs w:val="24"/>
              </w:rPr>
            </w:pPr>
          </w:p>
          <w:p w14:paraId="7058866A" w14:textId="4E291882" w:rsidR="007723BA" w:rsidRDefault="00E1613D" w:rsidP="0036309B">
            <w:pPr>
              <w:spacing w:after="0" w:line="240" w:lineRule="auto"/>
              <w:jc w:val="both"/>
              <w:rPr>
                <w:rFonts w:ascii="Times New Roman" w:hAnsi="Times New Roman" w:cs="Times New Roman"/>
                <w:color w:val="000000"/>
                <w:sz w:val="24"/>
                <w:szCs w:val="24"/>
              </w:rPr>
            </w:pPr>
            <w:r>
              <w:rPr>
                <w:rFonts w:ascii="Times New Roman" w:hAnsi="Times New Roman" w:cs="Times New Roman"/>
                <w:iCs/>
                <w:sz w:val="24"/>
                <w:szCs w:val="24"/>
              </w:rPr>
              <w:lastRenderedPageBreak/>
              <w:t>augstskolas, kuras</w:t>
            </w:r>
            <w:r>
              <w:rPr>
                <w:rFonts w:ascii="Times New Roman" w:hAnsi="Times New Roman" w:cs="Times New Roman"/>
                <w:color w:val="000000"/>
                <w:sz w:val="24"/>
                <w:szCs w:val="24"/>
              </w:rPr>
              <w:t xml:space="preserve"> ir saņēmušas </w:t>
            </w:r>
            <w:r w:rsidR="00BF3861">
              <w:rPr>
                <w:rFonts w:ascii="Times New Roman" w:hAnsi="Times New Roman" w:cs="Times New Roman"/>
                <w:color w:val="000000"/>
                <w:sz w:val="24"/>
                <w:szCs w:val="24"/>
              </w:rPr>
              <w:t>A</w:t>
            </w:r>
            <w:r>
              <w:rPr>
                <w:rFonts w:ascii="Times New Roman" w:hAnsi="Times New Roman" w:cs="Times New Roman"/>
                <w:color w:val="000000"/>
                <w:sz w:val="24"/>
                <w:szCs w:val="24"/>
              </w:rPr>
              <w:t>ģentūras izsniegtu audu vai orgānu izmantošanas atļauju</w:t>
            </w:r>
            <w:r w:rsidR="005904FE">
              <w:rPr>
                <w:rFonts w:ascii="Times New Roman" w:hAnsi="Times New Roman" w:cs="Times New Roman"/>
                <w:color w:val="000000"/>
                <w:sz w:val="24"/>
                <w:szCs w:val="24"/>
              </w:rPr>
              <w:t>;</w:t>
            </w:r>
          </w:p>
          <w:p w14:paraId="43E45E71" w14:textId="77777777" w:rsidR="005904FE" w:rsidRDefault="005904FE" w:rsidP="0036309B">
            <w:pPr>
              <w:spacing w:after="0" w:line="240" w:lineRule="auto"/>
              <w:jc w:val="both"/>
              <w:rPr>
                <w:rFonts w:ascii="Times New Roman" w:hAnsi="Times New Roman" w:cs="Times New Roman"/>
                <w:sz w:val="24"/>
                <w:szCs w:val="24"/>
              </w:rPr>
            </w:pPr>
          </w:p>
          <w:p w14:paraId="613C2C3B" w14:textId="6E701850" w:rsidR="005904FE" w:rsidRPr="008371AC" w:rsidRDefault="005904FE" w:rsidP="0036309B">
            <w:pPr>
              <w:spacing w:after="0" w:line="240" w:lineRule="auto"/>
              <w:jc w:val="both"/>
              <w:rPr>
                <w:rFonts w:ascii="Times New Roman" w:hAnsi="Times New Roman" w:cs="Times New Roman"/>
                <w:sz w:val="24"/>
                <w:szCs w:val="24"/>
              </w:rPr>
            </w:pPr>
            <w:r>
              <w:rPr>
                <w:rFonts w:ascii="Tms Rmn" w:hAnsi="Tms Rmn" w:cs="Tms Rmn"/>
                <w:color w:val="000000"/>
                <w:sz w:val="24"/>
                <w:szCs w:val="24"/>
              </w:rPr>
              <w:t>bezpeļņas organizācijas, neatkarīgas ekspertu grupas, akadēmiskās vai zinātniskas institūcijas, ārstu profesionālās asociācijas</w:t>
            </w:r>
            <w:r w:rsidR="008A764B">
              <w:rPr>
                <w:rFonts w:ascii="Tms Rmn" w:hAnsi="Tms Rmn" w:cs="Tms Rmn"/>
                <w:color w:val="000000"/>
                <w:sz w:val="24"/>
                <w:szCs w:val="24"/>
              </w:rPr>
              <w:t>.</w:t>
            </w:r>
          </w:p>
        </w:tc>
      </w:tr>
      <w:tr w:rsidR="007723BA" w:rsidRPr="003429ED" w14:paraId="40F8D1A8" w14:textId="77777777" w:rsidTr="00630627">
        <w:trPr>
          <w:trHeight w:val="408"/>
        </w:trPr>
        <w:tc>
          <w:tcPr>
            <w:tcW w:w="295" w:type="pct"/>
            <w:tcBorders>
              <w:top w:val="outset" w:sz="6" w:space="0" w:color="414142"/>
              <w:left w:val="outset" w:sz="6" w:space="0" w:color="414142"/>
              <w:bottom w:val="outset" w:sz="6" w:space="0" w:color="414142"/>
              <w:right w:val="outset" w:sz="6" w:space="0" w:color="414142"/>
            </w:tcBorders>
            <w:hideMark/>
          </w:tcPr>
          <w:p w14:paraId="42E7F457"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lastRenderedPageBreak/>
              <w:t>2.</w:t>
            </w:r>
          </w:p>
        </w:tc>
        <w:tc>
          <w:tcPr>
            <w:tcW w:w="1397" w:type="pct"/>
            <w:tcBorders>
              <w:top w:val="outset" w:sz="6" w:space="0" w:color="414142"/>
              <w:left w:val="outset" w:sz="6" w:space="0" w:color="414142"/>
              <w:bottom w:val="outset" w:sz="6" w:space="0" w:color="414142"/>
              <w:right w:val="outset" w:sz="6" w:space="0" w:color="414142"/>
            </w:tcBorders>
            <w:hideMark/>
          </w:tcPr>
          <w:p w14:paraId="579597B4"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Tiesiskā regulējuma ietekme uz tautsaimniecību un administratīvo slogu</w:t>
            </w:r>
          </w:p>
        </w:tc>
        <w:tc>
          <w:tcPr>
            <w:tcW w:w="3309" w:type="pct"/>
            <w:tcBorders>
              <w:top w:val="outset" w:sz="6" w:space="0" w:color="414142"/>
              <w:left w:val="outset" w:sz="6" w:space="0" w:color="414142"/>
              <w:bottom w:val="outset" w:sz="6" w:space="0" w:color="414142"/>
              <w:right w:val="outset" w:sz="6" w:space="0" w:color="414142"/>
            </w:tcBorders>
          </w:tcPr>
          <w:p w14:paraId="20E9B606" w14:textId="29704A34" w:rsidR="007723BA" w:rsidRPr="00255AF2" w:rsidRDefault="0096262B" w:rsidP="0063062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7723BA" w:rsidRPr="003429ED" w14:paraId="424AC3E5" w14:textId="77777777" w:rsidTr="00630627">
        <w:trPr>
          <w:trHeight w:val="408"/>
        </w:trPr>
        <w:tc>
          <w:tcPr>
            <w:tcW w:w="295" w:type="pct"/>
            <w:tcBorders>
              <w:top w:val="outset" w:sz="6" w:space="0" w:color="414142"/>
              <w:left w:val="outset" w:sz="6" w:space="0" w:color="414142"/>
              <w:bottom w:val="outset" w:sz="6" w:space="0" w:color="414142"/>
              <w:right w:val="outset" w:sz="6" w:space="0" w:color="414142"/>
            </w:tcBorders>
            <w:hideMark/>
          </w:tcPr>
          <w:p w14:paraId="248FECD4"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3.</w:t>
            </w:r>
          </w:p>
        </w:tc>
        <w:tc>
          <w:tcPr>
            <w:tcW w:w="1397" w:type="pct"/>
            <w:tcBorders>
              <w:top w:val="outset" w:sz="6" w:space="0" w:color="414142"/>
              <w:left w:val="outset" w:sz="6" w:space="0" w:color="414142"/>
              <w:bottom w:val="outset" w:sz="6" w:space="0" w:color="414142"/>
              <w:right w:val="outset" w:sz="6" w:space="0" w:color="414142"/>
            </w:tcBorders>
            <w:hideMark/>
          </w:tcPr>
          <w:p w14:paraId="407D4FD7"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Administratīvo izmaksu monetārs novērtējums</w:t>
            </w:r>
          </w:p>
        </w:tc>
        <w:tc>
          <w:tcPr>
            <w:tcW w:w="3309" w:type="pct"/>
            <w:tcBorders>
              <w:top w:val="outset" w:sz="6" w:space="0" w:color="414142"/>
              <w:left w:val="outset" w:sz="6" w:space="0" w:color="414142"/>
              <w:bottom w:val="outset" w:sz="6" w:space="0" w:color="414142"/>
              <w:right w:val="outset" w:sz="6" w:space="0" w:color="414142"/>
            </w:tcBorders>
            <w:hideMark/>
          </w:tcPr>
          <w:p w14:paraId="226CC83E" w14:textId="77777777" w:rsidR="007723BA" w:rsidRPr="003429ED" w:rsidRDefault="007723BA" w:rsidP="0063062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7723BA" w:rsidRPr="003429ED" w14:paraId="5CBF80ED" w14:textId="77777777" w:rsidTr="00630627">
        <w:trPr>
          <w:trHeight w:val="408"/>
        </w:trPr>
        <w:tc>
          <w:tcPr>
            <w:tcW w:w="295" w:type="pct"/>
            <w:tcBorders>
              <w:top w:val="outset" w:sz="6" w:space="0" w:color="414142"/>
              <w:left w:val="outset" w:sz="6" w:space="0" w:color="414142"/>
              <w:bottom w:val="outset" w:sz="6" w:space="0" w:color="414142"/>
              <w:right w:val="outset" w:sz="6" w:space="0" w:color="414142"/>
            </w:tcBorders>
          </w:tcPr>
          <w:p w14:paraId="494A0C12"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97" w:type="pct"/>
            <w:tcBorders>
              <w:top w:val="outset" w:sz="6" w:space="0" w:color="414142"/>
              <w:left w:val="outset" w:sz="6" w:space="0" w:color="414142"/>
              <w:bottom w:val="outset" w:sz="6" w:space="0" w:color="414142"/>
              <w:right w:val="outset" w:sz="6" w:space="0" w:color="414142"/>
            </w:tcBorders>
          </w:tcPr>
          <w:p w14:paraId="38BDED40"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8D1D41">
              <w:rPr>
                <w:rFonts w:ascii="Times New Roman" w:eastAsia="Times New Roman" w:hAnsi="Times New Roman" w:cs="Times New Roman"/>
                <w:sz w:val="24"/>
                <w:szCs w:val="24"/>
                <w:lang w:eastAsia="lv-LV"/>
              </w:rPr>
              <w:t>Atbilstības izmaksu monetārs novērtējums</w:t>
            </w:r>
          </w:p>
        </w:tc>
        <w:tc>
          <w:tcPr>
            <w:tcW w:w="3309" w:type="pct"/>
            <w:tcBorders>
              <w:top w:val="outset" w:sz="6" w:space="0" w:color="414142"/>
              <w:left w:val="outset" w:sz="6" w:space="0" w:color="414142"/>
              <w:bottom w:val="outset" w:sz="6" w:space="0" w:color="414142"/>
              <w:right w:val="outset" w:sz="6" w:space="0" w:color="414142"/>
            </w:tcBorders>
          </w:tcPr>
          <w:p w14:paraId="69437A80" w14:textId="77777777" w:rsidR="007723BA" w:rsidRPr="004748BA" w:rsidRDefault="007723BA" w:rsidP="0063062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7723BA" w:rsidRPr="003429ED" w14:paraId="49D753C2" w14:textId="77777777" w:rsidTr="00630627">
        <w:trPr>
          <w:trHeight w:val="276"/>
        </w:trPr>
        <w:tc>
          <w:tcPr>
            <w:tcW w:w="295" w:type="pct"/>
            <w:tcBorders>
              <w:top w:val="outset" w:sz="6" w:space="0" w:color="414142"/>
              <w:left w:val="outset" w:sz="6" w:space="0" w:color="414142"/>
              <w:bottom w:val="outset" w:sz="6" w:space="0" w:color="414142"/>
              <w:right w:val="outset" w:sz="6" w:space="0" w:color="414142"/>
            </w:tcBorders>
            <w:hideMark/>
          </w:tcPr>
          <w:p w14:paraId="39C1EAAD"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3429ED">
              <w:rPr>
                <w:rFonts w:ascii="Times New Roman" w:eastAsia="Times New Roman" w:hAnsi="Times New Roman" w:cs="Times New Roman"/>
                <w:sz w:val="24"/>
                <w:szCs w:val="24"/>
                <w:lang w:eastAsia="lv-LV"/>
              </w:rPr>
              <w:t>.</w:t>
            </w:r>
          </w:p>
        </w:tc>
        <w:tc>
          <w:tcPr>
            <w:tcW w:w="1397" w:type="pct"/>
            <w:tcBorders>
              <w:top w:val="outset" w:sz="6" w:space="0" w:color="414142"/>
              <w:left w:val="outset" w:sz="6" w:space="0" w:color="414142"/>
              <w:bottom w:val="outset" w:sz="6" w:space="0" w:color="414142"/>
              <w:right w:val="outset" w:sz="6" w:space="0" w:color="414142"/>
            </w:tcBorders>
            <w:hideMark/>
          </w:tcPr>
          <w:p w14:paraId="5F54BBDF"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Cita informācija</w:t>
            </w:r>
          </w:p>
        </w:tc>
        <w:tc>
          <w:tcPr>
            <w:tcW w:w="3309" w:type="pct"/>
            <w:tcBorders>
              <w:top w:val="outset" w:sz="6" w:space="0" w:color="414142"/>
              <w:left w:val="outset" w:sz="6" w:space="0" w:color="414142"/>
              <w:bottom w:val="outset" w:sz="6" w:space="0" w:color="414142"/>
              <w:right w:val="outset" w:sz="6" w:space="0" w:color="414142"/>
            </w:tcBorders>
          </w:tcPr>
          <w:p w14:paraId="50B84FB9"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64B5145D" w14:textId="77777777" w:rsidR="007723BA" w:rsidRDefault="007723BA" w:rsidP="007723BA">
      <w:pPr>
        <w:shd w:val="clear" w:color="auto" w:fill="FFFFFF"/>
        <w:spacing w:after="0" w:line="240" w:lineRule="auto"/>
        <w:rPr>
          <w:rFonts w:ascii="Times New Roman" w:eastAsia="Times New Roman" w:hAnsi="Times New Roman" w:cs="Times New Roman"/>
          <w:color w:val="414142"/>
          <w:sz w:val="24"/>
          <w:szCs w:val="24"/>
          <w:lang w:eastAsia="lv-LV"/>
        </w:rPr>
      </w:pPr>
    </w:p>
    <w:tbl>
      <w:tblPr>
        <w:tblW w:w="5323"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986"/>
        <w:gridCol w:w="961"/>
        <w:gridCol w:w="1173"/>
        <w:gridCol w:w="992"/>
        <w:gridCol w:w="1134"/>
        <w:gridCol w:w="992"/>
        <w:gridCol w:w="1134"/>
        <w:gridCol w:w="1268"/>
      </w:tblGrid>
      <w:tr w:rsidR="007723BA" w:rsidRPr="00271FFF" w14:paraId="1D8C4EF1" w14:textId="77777777" w:rsidTr="00630627">
        <w:trPr>
          <w:tblCellSpacing w:w="15" w:type="dxa"/>
          <w:jc w:val="center"/>
        </w:trPr>
        <w:tc>
          <w:tcPr>
            <w:tcW w:w="9580" w:type="dxa"/>
            <w:gridSpan w:val="8"/>
            <w:tcBorders>
              <w:top w:val="outset" w:sz="6" w:space="0" w:color="auto"/>
              <w:left w:val="outset" w:sz="6" w:space="0" w:color="auto"/>
              <w:bottom w:val="outset" w:sz="6" w:space="0" w:color="auto"/>
              <w:right w:val="outset" w:sz="6" w:space="0" w:color="auto"/>
            </w:tcBorders>
            <w:vAlign w:val="center"/>
            <w:hideMark/>
          </w:tcPr>
          <w:p w14:paraId="11DB1A4A" w14:textId="77777777" w:rsidR="007723BA" w:rsidRPr="00271FFF" w:rsidRDefault="007723BA" w:rsidP="00630627">
            <w:pPr>
              <w:spacing w:after="0" w:line="240" w:lineRule="auto"/>
              <w:rPr>
                <w:rFonts w:ascii="Times New Roman" w:eastAsia="Times New Roman" w:hAnsi="Times New Roman" w:cs="Times New Roman"/>
                <w:b/>
                <w:bCs/>
                <w:iCs/>
                <w:sz w:val="24"/>
                <w:szCs w:val="24"/>
                <w:lang w:eastAsia="lv-LV"/>
              </w:rPr>
            </w:pPr>
            <w:r w:rsidRPr="00271FFF">
              <w:rPr>
                <w:rFonts w:ascii="Times New Roman" w:eastAsia="Times New Roman" w:hAnsi="Times New Roman" w:cs="Times New Roman"/>
                <w:b/>
                <w:bCs/>
                <w:iCs/>
                <w:sz w:val="24"/>
                <w:szCs w:val="24"/>
                <w:lang w:eastAsia="lv-LV"/>
              </w:rPr>
              <w:t>III. Tiesību akta projekta ietekme uz valsts budžetu un pašvaldību budžetiem</w:t>
            </w:r>
          </w:p>
        </w:tc>
      </w:tr>
      <w:tr w:rsidR="007723BA" w:rsidRPr="00271FFF" w14:paraId="716B3D51" w14:textId="77777777" w:rsidTr="00630627">
        <w:trPr>
          <w:tblCellSpacing w:w="15" w:type="dxa"/>
          <w:jc w:val="center"/>
        </w:trPr>
        <w:tc>
          <w:tcPr>
            <w:tcW w:w="1941" w:type="dxa"/>
            <w:vMerge w:val="restart"/>
            <w:tcBorders>
              <w:top w:val="outset" w:sz="6" w:space="0" w:color="auto"/>
              <w:left w:val="outset" w:sz="6" w:space="0" w:color="auto"/>
              <w:bottom w:val="outset" w:sz="6" w:space="0" w:color="auto"/>
              <w:right w:val="outset" w:sz="6" w:space="0" w:color="auto"/>
            </w:tcBorders>
            <w:vAlign w:val="center"/>
            <w:hideMark/>
          </w:tcPr>
          <w:p w14:paraId="2ABD4706"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Rādītāji</w:t>
            </w:r>
          </w:p>
        </w:tc>
        <w:tc>
          <w:tcPr>
            <w:tcW w:w="2104"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3A5A71FE" w14:textId="48B658D2"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20</w:t>
            </w:r>
            <w:r w:rsidR="00973C2D">
              <w:rPr>
                <w:rFonts w:ascii="Times New Roman" w:eastAsia="Times New Roman" w:hAnsi="Times New Roman" w:cs="Times New Roman"/>
                <w:iCs/>
                <w:sz w:val="24"/>
                <w:szCs w:val="24"/>
                <w:lang w:eastAsia="lv-LV"/>
              </w:rPr>
              <w:t>2</w:t>
            </w:r>
            <w:r w:rsidR="009E1D14">
              <w:rPr>
                <w:rFonts w:ascii="Times New Roman" w:eastAsia="Times New Roman" w:hAnsi="Times New Roman" w:cs="Times New Roman"/>
                <w:iCs/>
                <w:sz w:val="24"/>
                <w:szCs w:val="24"/>
                <w:lang w:eastAsia="lv-LV"/>
              </w:rPr>
              <w:t>1</w:t>
            </w:r>
            <w:r w:rsidRPr="00271FFF">
              <w:rPr>
                <w:rFonts w:ascii="Times New Roman" w:eastAsia="Times New Roman" w:hAnsi="Times New Roman" w:cs="Times New Roman"/>
                <w:iCs/>
                <w:sz w:val="24"/>
                <w:szCs w:val="24"/>
                <w:lang w:eastAsia="lv-LV"/>
              </w:rPr>
              <w:t>.gads</w:t>
            </w:r>
          </w:p>
        </w:tc>
        <w:tc>
          <w:tcPr>
            <w:tcW w:w="5475" w:type="dxa"/>
            <w:gridSpan w:val="5"/>
            <w:tcBorders>
              <w:top w:val="outset" w:sz="6" w:space="0" w:color="auto"/>
              <w:left w:val="outset" w:sz="6" w:space="0" w:color="auto"/>
              <w:bottom w:val="outset" w:sz="6" w:space="0" w:color="auto"/>
              <w:right w:val="outset" w:sz="6" w:space="0" w:color="auto"/>
            </w:tcBorders>
            <w:vAlign w:val="center"/>
            <w:hideMark/>
          </w:tcPr>
          <w:p w14:paraId="3AD3FBAF"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Turpmākie trīs gadi (</w:t>
            </w:r>
            <w:r w:rsidRPr="00271FFF">
              <w:rPr>
                <w:rFonts w:ascii="Times New Roman" w:eastAsia="Times New Roman" w:hAnsi="Times New Roman" w:cs="Times New Roman"/>
                <w:i/>
                <w:iCs/>
                <w:sz w:val="24"/>
                <w:szCs w:val="24"/>
                <w:lang w:eastAsia="lv-LV"/>
              </w:rPr>
              <w:t>euro</w:t>
            </w:r>
            <w:r w:rsidRPr="00271FFF">
              <w:rPr>
                <w:rFonts w:ascii="Times New Roman" w:eastAsia="Times New Roman" w:hAnsi="Times New Roman" w:cs="Times New Roman"/>
                <w:iCs/>
                <w:sz w:val="24"/>
                <w:szCs w:val="24"/>
                <w:lang w:eastAsia="lv-LV"/>
              </w:rPr>
              <w:t>)</w:t>
            </w:r>
          </w:p>
        </w:tc>
      </w:tr>
      <w:tr w:rsidR="007723BA" w:rsidRPr="00271FFF" w14:paraId="3A1348D5" w14:textId="77777777" w:rsidTr="00630627">
        <w:trPr>
          <w:tblCellSpacing w:w="15" w:type="dxa"/>
          <w:jc w:val="center"/>
        </w:trPr>
        <w:tc>
          <w:tcPr>
            <w:tcW w:w="1941" w:type="dxa"/>
            <w:vMerge/>
            <w:tcBorders>
              <w:top w:val="outset" w:sz="6" w:space="0" w:color="auto"/>
              <w:left w:val="outset" w:sz="6" w:space="0" w:color="auto"/>
              <w:bottom w:val="outset" w:sz="6" w:space="0" w:color="auto"/>
              <w:right w:val="outset" w:sz="6" w:space="0" w:color="auto"/>
            </w:tcBorders>
            <w:vAlign w:val="center"/>
            <w:hideMark/>
          </w:tcPr>
          <w:p w14:paraId="3A1C36F9"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p>
        </w:tc>
        <w:tc>
          <w:tcPr>
            <w:tcW w:w="2104" w:type="dxa"/>
            <w:gridSpan w:val="2"/>
            <w:vMerge/>
            <w:tcBorders>
              <w:top w:val="outset" w:sz="6" w:space="0" w:color="auto"/>
              <w:left w:val="outset" w:sz="6" w:space="0" w:color="auto"/>
              <w:bottom w:val="outset" w:sz="6" w:space="0" w:color="auto"/>
              <w:right w:val="outset" w:sz="6" w:space="0" w:color="auto"/>
            </w:tcBorders>
            <w:vAlign w:val="center"/>
            <w:hideMark/>
          </w:tcPr>
          <w:p w14:paraId="6775D3AF"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p>
        </w:tc>
        <w:tc>
          <w:tcPr>
            <w:tcW w:w="2096" w:type="dxa"/>
            <w:gridSpan w:val="2"/>
            <w:tcBorders>
              <w:top w:val="outset" w:sz="6" w:space="0" w:color="auto"/>
              <w:left w:val="outset" w:sz="6" w:space="0" w:color="auto"/>
              <w:bottom w:val="outset" w:sz="6" w:space="0" w:color="auto"/>
              <w:right w:val="outset" w:sz="6" w:space="0" w:color="auto"/>
            </w:tcBorders>
            <w:vAlign w:val="center"/>
            <w:hideMark/>
          </w:tcPr>
          <w:p w14:paraId="2E46C9A0" w14:textId="6A69BD74"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2</w:t>
            </w:r>
            <w:r w:rsidR="009E1D14">
              <w:rPr>
                <w:rFonts w:ascii="Times New Roman" w:eastAsia="Times New Roman" w:hAnsi="Times New Roman" w:cs="Times New Roman"/>
                <w:iCs/>
                <w:sz w:val="24"/>
                <w:szCs w:val="24"/>
                <w:lang w:eastAsia="lv-LV"/>
              </w:rPr>
              <w:t>2</w:t>
            </w:r>
            <w:r w:rsidRPr="00271FFF">
              <w:rPr>
                <w:rFonts w:ascii="Times New Roman" w:eastAsia="Times New Roman" w:hAnsi="Times New Roman" w:cs="Times New Roman"/>
                <w:iCs/>
                <w:sz w:val="24"/>
                <w:szCs w:val="24"/>
                <w:lang w:eastAsia="lv-LV"/>
              </w:rPr>
              <w:t>.gads</w:t>
            </w:r>
          </w:p>
        </w:tc>
        <w:tc>
          <w:tcPr>
            <w:tcW w:w="2096" w:type="dxa"/>
            <w:gridSpan w:val="2"/>
            <w:tcBorders>
              <w:top w:val="outset" w:sz="6" w:space="0" w:color="auto"/>
              <w:left w:val="outset" w:sz="6" w:space="0" w:color="auto"/>
              <w:bottom w:val="outset" w:sz="6" w:space="0" w:color="auto"/>
              <w:right w:val="outset" w:sz="6" w:space="0" w:color="auto"/>
            </w:tcBorders>
            <w:vAlign w:val="center"/>
            <w:hideMark/>
          </w:tcPr>
          <w:p w14:paraId="6CB1CBED" w14:textId="34F0BAC5"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202</w:t>
            </w:r>
            <w:r w:rsidR="009E1D14">
              <w:rPr>
                <w:rFonts w:ascii="Times New Roman" w:eastAsia="Times New Roman" w:hAnsi="Times New Roman" w:cs="Times New Roman"/>
                <w:iCs/>
                <w:sz w:val="24"/>
                <w:szCs w:val="24"/>
                <w:lang w:eastAsia="lv-LV"/>
              </w:rPr>
              <w:t>3</w:t>
            </w:r>
            <w:r w:rsidRPr="00271FFF">
              <w:rPr>
                <w:rFonts w:ascii="Times New Roman" w:eastAsia="Times New Roman" w:hAnsi="Times New Roman" w:cs="Times New Roman"/>
                <w:iCs/>
                <w:sz w:val="24"/>
                <w:szCs w:val="24"/>
                <w:lang w:eastAsia="lv-LV"/>
              </w:rPr>
              <w:t>.gads</w:t>
            </w:r>
          </w:p>
        </w:tc>
        <w:tc>
          <w:tcPr>
            <w:tcW w:w="1223" w:type="dxa"/>
            <w:tcBorders>
              <w:top w:val="outset" w:sz="6" w:space="0" w:color="auto"/>
              <w:left w:val="outset" w:sz="6" w:space="0" w:color="auto"/>
              <w:bottom w:val="outset" w:sz="6" w:space="0" w:color="auto"/>
              <w:right w:val="outset" w:sz="6" w:space="0" w:color="auto"/>
            </w:tcBorders>
            <w:vAlign w:val="center"/>
            <w:hideMark/>
          </w:tcPr>
          <w:p w14:paraId="7BE923E7" w14:textId="1F082751"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202</w:t>
            </w:r>
            <w:r w:rsidR="009E1D14">
              <w:rPr>
                <w:rFonts w:ascii="Times New Roman" w:eastAsia="Times New Roman" w:hAnsi="Times New Roman" w:cs="Times New Roman"/>
                <w:iCs/>
                <w:sz w:val="24"/>
                <w:szCs w:val="24"/>
                <w:lang w:eastAsia="lv-LV"/>
              </w:rPr>
              <w:t>4</w:t>
            </w:r>
            <w:r w:rsidRPr="00271FFF">
              <w:rPr>
                <w:rFonts w:ascii="Times New Roman" w:eastAsia="Times New Roman" w:hAnsi="Times New Roman" w:cs="Times New Roman"/>
                <w:iCs/>
                <w:sz w:val="24"/>
                <w:szCs w:val="24"/>
                <w:lang w:eastAsia="lv-LV"/>
              </w:rPr>
              <w:t>.gads</w:t>
            </w:r>
          </w:p>
        </w:tc>
      </w:tr>
      <w:tr w:rsidR="007723BA" w:rsidRPr="00271FFF" w14:paraId="447FBBB5" w14:textId="77777777" w:rsidTr="00630627">
        <w:trPr>
          <w:tblCellSpacing w:w="15" w:type="dxa"/>
          <w:jc w:val="center"/>
        </w:trPr>
        <w:tc>
          <w:tcPr>
            <w:tcW w:w="1941" w:type="dxa"/>
            <w:vMerge/>
            <w:tcBorders>
              <w:top w:val="outset" w:sz="6" w:space="0" w:color="auto"/>
              <w:left w:val="outset" w:sz="6" w:space="0" w:color="auto"/>
              <w:bottom w:val="outset" w:sz="6" w:space="0" w:color="auto"/>
              <w:right w:val="outset" w:sz="6" w:space="0" w:color="auto"/>
            </w:tcBorders>
            <w:vAlign w:val="center"/>
            <w:hideMark/>
          </w:tcPr>
          <w:p w14:paraId="10DDED39"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p>
        </w:tc>
        <w:tc>
          <w:tcPr>
            <w:tcW w:w="931" w:type="dxa"/>
            <w:tcBorders>
              <w:top w:val="outset" w:sz="6" w:space="0" w:color="auto"/>
              <w:left w:val="outset" w:sz="6" w:space="0" w:color="auto"/>
              <w:bottom w:val="outset" w:sz="6" w:space="0" w:color="auto"/>
              <w:right w:val="outset" w:sz="6" w:space="0" w:color="auto"/>
            </w:tcBorders>
            <w:vAlign w:val="center"/>
            <w:hideMark/>
          </w:tcPr>
          <w:p w14:paraId="2CE24F04"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saskaņā ar valsts budžetu kārtējam gadam</w:t>
            </w:r>
          </w:p>
        </w:tc>
        <w:tc>
          <w:tcPr>
            <w:tcW w:w="1143" w:type="dxa"/>
            <w:tcBorders>
              <w:top w:val="outset" w:sz="6" w:space="0" w:color="auto"/>
              <w:left w:val="outset" w:sz="6" w:space="0" w:color="auto"/>
              <w:bottom w:val="outset" w:sz="6" w:space="0" w:color="auto"/>
              <w:right w:val="outset" w:sz="6" w:space="0" w:color="auto"/>
            </w:tcBorders>
            <w:vAlign w:val="center"/>
            <w:hideMark/>
          </w:tcPr>
          <w:p w14:paraId="00FE25D9"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izmaiņas kārtējā gadā, salīdzinot ar valsts budžetu kārtējam gadam</w:t>
            </w:r>
          </w:p>
        </w:tc>
        <w:tc>
          <w:tcPr>
            <w:tcW w:w="962" w:type="dxa"/>
            <w:tcBorders>
              <w:top w:val="outset" w:sz="6" w:space="0" w:color="auto"/>
              <w:left w:val="outset" w:sz="6" w:space="0" w:color="auto"/>
              <w:bottom w:val="outset" w:sz="6" w:space="0" w:color="auto"/>
              <w:right w:val="outset" w:sz="6" w:space="0" w:color="auto"/>
            </w:tcBorders>
            <w:vAlign w:val="center"/>
            <w:hideMark/>
          </w:tcPr>
          <w:p w14:paraId="30FE9DB2"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2F4816B" w14:textId="3220DDA8"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 xml:space="preserve">izmaiņas, salīdzinot ar vidēja termiņa budžeta ietvaru </w:t>
            </w:r>
            <w:r>
              <w:rPr>
                <w:rFonts w:ascii="Times New Roman" w:eastAsia="Times New Roman" w:hAnsi="Times New Roman" w:cs="Times New Roman"/>
                <w:iCs/>
                <w:sz w:val="24"/>
                <w:szCs w:val="24"/>
                <w:lang w:eastAsia="lv-LV"/>
              </w:rPr>
              <w:t>202</w:t>
            </w:r>
            <w:r w:rsidR="002F6AE3">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w:t>
            </w:r>
            <w:r w:rsidRPr="00271FFF">
              <w:rPr>
                <w:rFonts w:ascii="Times New Roman" w:eastAsia="Times New Roman" w:hAnsi="Times New Roman" w:cs="Times New Roman"/>
                <w:iCs/>
                <w:sz w:val="24"/>
                <w:szCs w:val="24"/>
                <w:lang w:eastAsia="lv-LV"/>
              </w:rPr>
              <w:t xml:space="preserve"> gadam</w:t>
            </w:r>
          </w:p>
        </w:tc>
        <w:tc>
          <w:tcPr>
            <w:tcW w:w="962" w:type="dxa"/>
            <w:tcBorders>
              <w:top w:val="outset" w:sz="6" w:space="0" w:color="auto"/>
              <w:left w:val="outset" w:sz="6" w:space="0" w:color="auto"/>
              <w:bottom w:val="outset" w:sz="6" w:space="0" w:color="auto"/>
              <w:right w:val="outset" w:sz="6" w:space="0" w:color="auto"/>
            </w:tcBorders>
            <w:vAlign w:val="center"/>
            <w:hideMark/>
          </w:tcPr>
          <w:p w14:paraId="6915BD59"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20DEEDE" w14:textId="31E44BE6"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 xml:space="preserve">izmaiņas, salīdzinot ar vidēja termiņa budžeta ietvaru </w:t>
            </w:r>
            <w:r>
              <w:rPr>
                <w:rFonts w:ascii="Times New Roman" w:eastAsia="Times New Roman" w:hAnsi="Times New Roman" w:cs="Times New Roman"/>
                <w:iCs/>
                <w:sz w:val="24"/>
                <w:szCs w:val="24"/>
                <w:lang w:eastAsia="lv-LV"/>
              </w:rPr>
              <w:t>202</w:t>
            </w:r>
            <w:r w:rsidR="002F6AE3">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xml:space="preserve">. </w:t>
            </w:r>
            <w:r w:rsidRPr="00271FFF">
              <w:rPr>
                <w:rFonts w:ascii="Times New Roman" w:eastAsia="Times New Roman" w:hAnsi="Times New Roman" w:cs="Times New Roman"/>
                <w:iCs/>
                <w:sz w:val="24"/>
                <w:szCs w:val="24"/>
                <w:lang w:eastAsia="lv-LV"/>
              </w:rPr>
              <w:t>gadam</w:t>
            </w:r>
          </w:p>
        </w:tc>
        <w:tc>
          <w:tcPr>
            <w:tcW w:w="1223" w:type="dxa"/>
            <w:tcBorders>
              <w:top w:val="outset" w:sz="6" w:space="0" w:color="auto"/>
              <w:left w:val="outset" w:sz="6" w:space="0" w:color="auto"/>
              <w:bottom w:val="outset" w:sz="6" w:space="0" w:color="auto"/>
              <w:right w:val="outset" w:sz="6" w:space="0" w:color="auto"/>
            </w:tcBorders>
            <w:vAlign w:val="center"/>
            <w:hideMark/>
          </w:tcPr>
          <w:p w14:paraId="6B916940" w14:textId="1FB7863F"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 xml:space="preserve">izmaiņas, salīdzinot ar vidēja termiņa budžeta ietvaru </w:t>
            </w:r>
            <w:r>
              <w:rPr>
                <w:rFonts w:ascii="Times New Roman" w:eastAsia="Times New Roman" w:hAnsi="Times New Roman" w:cs="Times New Roman"/>
                <w:iCs/>
                <w:sz w:val="24"/>
                <w:szCs w:val="24"/>
                <w:lang w:eastAsia="lv-LV"/>
              </w:rPr>
              <w:t>202</w:t>
            </w:r>
            <w:r w:rsidR="009E1D14">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w:t>
            </w:r>
            <w:r w:rsidRPr="00271FFF">
              <w:rPr>
                <w:rFonts w:ascii="Times New Roman" w:eastAsia="Times New Roman" w:hAnsi="Times New Roman" w:cs="Times New Roman"/>
                <w:iCs/>
                <w:sz w:val="24"/>
                <w:szCs w:val="24"/>
                <w:lang w:eastAsia="lv-LV"/>
              </w:rPr>
              <w:t xml:space="preserve"> gadam</w:t>
            </w:r>
          </w:p>
        </w:tc>
      </w:tr>
      <w:tr w:rsidR="007723BA" w:rsidRPr="00271FFF" w14:paraId="4BBF93C9"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vAlign w:val="center"/>
            <w:hideMark/>
          </w:tcPr>
          <w:p w14:paraId="7350D81B"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r w:rsidRPr="00271FFF">
              <w:rPr>
                <w:rFonts w:ascii="Times New Roman" w:eastAsia="Times New Roman" w:hAnsi="Times New Roman" w:cs="Times New Roman"/>
                <w:iCs/>
                <w:sz w:val="20"/>
                <w:szCs w:val="20"/>
                <w:lang w:eastAsia="lv-LV"/>
              </w:rPr>
              <w:t>1</w:t>
            </w:r>
          </w:p>
        </w:tc>
        <w:tc>
          <w:tcPr>
            <w:tcW w:w="931" w:type="dxa"/>
            <w:tcBorders>
              <w:top w:val="outset" w:sz="6" w:space="0" w:color="auto"/>
              <w:left w:val="outset" w:sz="6" w:space="0" w:color="auto"/>
              <w:bottom w:val="outset" w:sz="6" w:space="0" w:color="auto"/>
              <w:right w:val="outset" w:sz="6" w:space="0" w:color="auto"/>
            </w:tcBorders>
            <w:vAlign w:val="center"/>
            <w:hideMark/>
          </w:tcPr>
          <w:p w14:paraId="7F7F7D57"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r w:rsidRPr="00271FFF">
              <w:rPr>
                <w:rFonts w:ascii="Times New Roman" w:eastAsia="Times New Roman" w:hAnsi="Times New Roman" w:cs="Times New Roman"/>
                <w:iCs/>
                <w:sz w:val="20"/>
                <w:szCs w:val="20"/>
                <w:lang w:eastAsia="lv-LV"/>
              </w:rPr>
              <w:t>2</w:t>
            </w:r>
          </w:p>
        </w:tc>
        <w:tc>
          <w:tcPr>
            <w:tcW w:w="1143" w:type="dxa"/>
            <w:tcBorders>
              <w:top w:val="outset" w:sz="6" w:space="0" w:color="auto"/>
              <w:left w:val="outset" w:sz="6" w:space="0" w:color="auto"/>
              <w:bottom w:val="outset" w:sz="6" w:space="0" w:color="auto"/>
              <w:right w:val="outset" w:sz="6" w:space="0" w:color="auto"/>
            </w:tcBorders>
            <w:vAlign w:val="center"/>
            <w:hideMark/>
          </w:tcPr>
          <w:p w14:paraId="58F8646C"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r w:rsidRPr="00271FFF">
              <w:rPr>
                <w:rFonts w:ascii="Times New Roman" w:eastAsia="Times New Roman" w:hAnsi="Times New Roman" w:cs="Times New Roman"/>
                <w:iCs/>
                <w:sz w:val="20"/>
                <w:szCs w:val="20"/>
                <w:lang w:eastAsia="lv-LV"/>
              </w:rPr>
              <w:t>3</w:t>
            </w:r>
          </w:p>
        </w:tc>
        <w:tc>
          <w:tcPr>
            <w:tcW w:w="962" w:type="dxa"/>
            <w:tcBorders>
              <w:top w:val="outset" w:sz="6" w:space="0" w:color="auto"/>
              <w:left w:val="outset" w:sz="6" w:space="0" w:color="auto"/>
              <w:bottom w:val="outset" w:sz="6" w:space="0" w:color="auto"/>
              <w:right w:val="outset" w:sz="6" w:space="0" w:color="auto"/>
            </w:tcBorders>
            <w:vAlign w:val="center"/>
            <w:hideMark/>
          </w:tcPr>
          <w:p w14:paraId="4C3159C7"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r w:rsidRPr="00271FFF">
              <w:rPr>
                <w:rFonts w:ascii="Times New Roman" w:eastAsia="Times New Roman" w:hAnsi="Times New Roman" w:cs="Times New Roman"/>
                <w:iCs/>
                <w:sz w:val="20"/>
                <w:szCs w:val="20"/>
                <w:lang w:eastAsia="lv-LV"/>
              </w:rPr>
              <w:t>4</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C4DF944"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r w:rsidRPr="00271FFF">
              <w:rPr>
                <w:rFonts w:ascii="Times New Roman" w:eastAsia="Times New Roman" w:hAnsi="Times New Roman" w:cs="Times New Roman"/>
                <w:iCs/>
                <w:sz w:val="20"/>
                <w:szCs w:val="20"/>
                <w:lang w:eastAsia="lv-LV"/>
              </w:rPr>
              <w:t>5</w:t>
            </w:r>
          </w:p>
        </w:tc>
        <w:tc>
          <w:tcPr>
            <w:tcW w:w="962" w:type="dxa"/>
            <w:tcBorders>
              <w:top w:val="outset" w:sz="6" w:space="0" w:color="auto"/>
              <w:left w:val="outset" w:sz="6" w:space="0" w:color="auto"/>
              <w:bottom w:val="outset" w:sz="6" w:space="0" w:color="auto"/>
              <w:right w:val="outset" w:sz="6" w:space="0" w:color="auto"/>
            </w:tcBorders>
            <w:vAlign w:val="center"/>
            <w:hideMark/>
          </w:tcPr>
          <w:p w14:paraId="7660749A"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r w:rsidRPr="00271FFF">
              <w:rPr>
                <w:rFonts w:ascii="Times New Roman" w:eastAsia="Times New Roman" w:hAnsi="Times New Roman" w:cs="Times New Roman"/>
                <w:iCs/>
                <w:sz w:val="20"/>
                <w:szCs w:val="20"/>
                <w:lang w:eastAsia="lv-LV"/>
              </w:rPr>
              <w:t>6</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D661C0C"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r w:rsidRPr="00271FFF">
              <w:rPr>
                <w:rFonts w:ascii="Times New Roman" w:eastAsia="Times New Roman" w:hAnsi="Times New Roman" w:cs="Times New Roman"/>
                <w:iCs/>
                <w:sz w:val="20"/>
                <w:szCs w:val="20"/>
                <w:lang w:eastAsia="lv-LV"/>
              </w:rPr>
              <w:t>7</w:t>
            </w:r>
          </w:p>
        </w:tc>
        <w:tc>
          <w:tcPr>
            <w:tcW w:w="1223" w:type="dxa"/>
            <w:tcBorders>
              <w:top w:val="outset" w:sz="6" w:space="0" w:color="auto"/>
              <w:left w:val="outset" w:sz="6" w:space="0" w:color="auto"/>
              <w:bottom w:val="outset" w:sz="6" w:space="0" w:color="auto"/>
              <w:right w:val="outset" w:sz="6" w:space="0" w:color="auto"/>
            </w:tcBorders>
            <w:vAlign w:val="center"/>
            <w:hideMark/>
          </w:tcPr>
          <w:p w14:paraId="014EEBFA"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r w:rsidRPr="00271FFF">
              <w:rPr>
                <w:rFonts w:ascii="Times New Roman" w:eastAsia="Times New Roman" w:hAnsi="Times New Roman" w:cs="Times New Roman"/>
                <w:iCs/>
                <w:sz w:val="20"/>
                <w:szCs w:val="20"/>
                <w:lang w:eastAsia="lv-LV"/>
              </w:rPr>
              <w:t>8</w:t>
            </w:r>
          </w:p>
        </w:tc>
      </w:tr>
      <w:tr w:rsidR="007723BA" w:rsidRPr="00271FFF" w14:paraId="7A53150D"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0F95682E"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1. Budžeta ieņēmumi</w:t>
            </w:r>
          </w:p>
        </w:tc>
        <w:tc>
          <w:tcPr>
            <w:tcW w:w="931" w:type="dxa"/>
            <w:tcBorders>
              <w:top w:val="outset" w:sz="6" w:space="0" w:color="auto"/>
              <w:left w:val="outset" w:sz="6" w:space="0" w:color="auto"/>
              <w:bottom w:val="outset" w:sz="6" w:space="0" w:color="auto"/>
              <w:right w:val="outset" w:sz="6" w:space="0" w:color="auto"/>
            </w:tcBorders>
            <w:vAlign w:val="center"/>
          </w:tcPr>
          <w:p w14:paraId="71CA69B3"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7D45F2AE"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7F7C0ABF"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4B5463C"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49544795"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14B0C86"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772C5202"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r>
      <w:tr w:rsidR="007723BA" w:rsidRPr="00271FFF" w14:paraId="665A5785"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605B9D84"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931" w:type="dxa"/>
            <w:tcBorders>
              <w:top w:val="outset" w:sz="6" w:space="0" w:color="auto"/>
              <w:left w:val="outset" w:sz="6" w:space="0" w:color="auto"/>
              <w:bottom w:val="outset" w:sz="6" w:space="0" w:color="auto"/>
              <w:right w:val="outset" w:sz="6" w:space="0" w:color="auto"/>
            </w:tcBorders>
            <w:vAlign w:val="center"/>
          </w:tcPr>
          <w:p w14:paraId="35B6AC4B" w14:textId="796A85CE"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3BFC7CD5" w14:textId="6432516C"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604DCB12" w14:textId="134F4C64"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3746D9F" w14:textId="4BABA7C0"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449E3ECF" w14:textId="69506125"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05DC6112" w14:textId="67CE1D8C"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7284A928" w14:textId="47E2EDEB"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r>
      <w:tr w:rsidR="007723BA" w:rsidRPr="00271FFF" w14:paraId="233C2AF3"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50E89B6D"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1.2. valsts speciālais budžets</w:t>
            </w:r>
          </w:p>
        </w:tc>
        <w:tc>
          <w:tcPr>
            <w:tcW w:w="931" w:type="dxa"/>
            <w:tcBorders>
              <w:top w:val="outset" w:sz="6" w:space="0" w:color="auto"/>
              <w:left w:val="outset" w:sz="6" w:space="0" w:color="auto"/>
              <w:bottom w:val="outset" w:sz="6" w:space="0" w:color="auto"/>
              <w:right w:val="outset" w:sz="6" w:space="0" w:color="auto"/>
            </w:tcBorders>
            <w:vAlign w:val="center"/>
          </w:tcPr>
          <w:p w14:paraId="069F796C"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2F01C907"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7289CC22"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B693634"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7E513A7C"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0D3D9FD6"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102980BA"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r>
      <w:tr w:rsidR="007723BA" w:rsidRPr="00271FFF" w14:paraId="032A8D32"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56487BC6"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1.3. pašvaldību budžets</w:t>
            </w:r>
          </w:p>
        </w:tc>
        <w:tc>
          <w:tcPr>
            <w:tcW w:w="931" w:type="dxa"/>
            <w:tcBorders>
              <w:top w:val="outset" w:sz="6" w:space="0" w:color="auto"/>
              <w:left w:val="outset" w:sz="6" w:space="0" w:color="auto"/>
              <w:bottom w:val="outset" w:sz="6" w:space="0" w:color="auto"/>
              <w:right w:val="outset" w:sz="6" w:space="0" w:color="auto"/>
            </w:tcBorders>
            <w:vAlign w:val="center"/>
          </w:tcPr>
          <w:p w14:paraId="35C1506B"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5436EB84"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59F60E34"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F8BC645"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404215B1"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246EBDC"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35D3387B"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r>
      <w:tr w:rsidR="007723BA" w:rsidRPr="00271FFF" w14:paraId="23511B2B"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127767B9"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2. Budžeta izdevumi</w:t>
            </w:r>
          </w:p>
        </w:tc>
        <w:tc>
          <w:tcPr>
            <w:tcW w:w="931" w:type="dxa"/>
            <w:tcBorders>
              <w:top w:val="outset" w:sz="6" w:space="0" w:color="auto"/>
              <w:left w:val="outset" w:sz="6" w:space="0" w:color="auto"/>
              <w:bottom w:val="outset" w:sz="6" w:space="0" w:color="auto"/>
              <w:right w:val="outset" w:sz="6" w:space="0" w:color="auto"/>
            </w:tcBorders>
            <w:vAlign w:val="center"/>
          </w:tcPr>
          <w:p w14:paraId="09D2CC4D" w14:textId="48BD6F7B"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76F450E7" w14:textId="7E9F84FA"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15D0B132" w14:textId="24DAF2C0"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022A87A3" w14:textId="2E2A390A"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34A21BBB" w14:textId="015B7F2B"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A0EB285" w14:textId="61DD498D"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30E38424" w14:textId="73716FDC"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r>
      <w:tr w:rsidR="007723BA" w:rsidRPr="00271FFF" w14:paraId="6F2C86DD"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798BFC09"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2.1. valsts pamatbudžets</w:t>
            </w:r>
          </w:p>
        </w:tc>
        <w:tc>
          <w:tcPr>
            <w:tcW w:w="931" w:type="dxa"/>
            <w:tcBorders>
              <w:top w:val="outset" w:sz="6" w:space="0" w:color="auto"/>
              <w:left w:val="outset" w:sz="6" w:space="0" w:color="auto"/>
              <w:bottom w:val="outset" w:sz="6" w:space="0" w:color="auto"/>
              <w:right w:val="outset" w:sz="6" w:space="0" w:color="auto"/>
            </w:tcBorders>
          </w:tcPr>
          <w:p w14:paraId="0A50E70D"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5CBC81E9"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962" w:type="dxa"/>
            <w:tcBorders>
              <w:top w:val="outset" w:sz="6" w:space="0" w:color="auto"/>
              <w:left w:val="outset" w:sz="6" w:space="0" w:color="auto"/>
              <w:bottom w:val="outset" w:sz="6" w:space="0" w:color="auto"/>
              <w:right w:val="outset" w:sz="6" w:space="0" w:color="auto"/>
            </w:tcBorders>
          </w:tcPr>
          <w:p w14:paraId="46D0BD95"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105D339"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6785003B"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7466BF0E"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24BC844F" w14:textId="77777777" w:rsidR="007723BA" w:rsidRPr="00806F39" w:rsidRDefault="007723BA" w:rsidP="00630627">
            <w:pPr>
              <w:spacing w:after="0" w:line="240" w:lineRule="auto"/>
              <w:jc w:val="center"/>
              <w:rPr>
                <w:rFonts w:ascii="Times New Roman" w:eastAsia="Times New Roman" w:hAnsi="Times New Roman" w:cs="Times New Roman"/>
                <w:iCs/>
                <w:sz w:val="18"/>
                <w:szCs w:val="18"/>
                <w:lang w:eastAsia="lv-LV"/>
              </w:rPr>
            </w:pPr>
          </w:p>
        </w:tc>
      </w:tr>
      <w:tr w:rsidR="007723BA" w:rsidRPr="00271FFF" w14:paraId="466E8FD2"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34D3B31D"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2.2. valsts speciālais budžets</w:t>
            </w:r>
          </w:p>
        </w:tc>
        <w:tc>
          <w:tcPr>
            <w:tcW w:w="931" w:type="dxa"/>
            <w:tcBorders>
              <w:top w:val="outset" w:sz="6" w:space="0" w:color="auto"/>
              <w:left w:val="outset" w:sz="6" w:space="0" w:color="auto"/>
              <w:bottom w:val="outset" w:sz="6" w:space="0" w:color="auto"/>
              <w:right w:val="outset" w:sz="6" w:space="0" w:color="auto"/>
            </w:tcBorders>
            <w:vAlign w:val="center"/>
          </w:tcPr>
          <w:p w14:paraId="388B39D3"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503628C5"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48C6F498"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3A23BB2"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51D8D249"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06082452"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0166238D"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p>
        </w:tc>
      </w:tr>
      <w:tr w:rsidR="007723BA" w:rsidRPr="00271FFF" w14:paraId="67931A75"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1A903C97"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lastRenderedPageBreak/>
              <w:t>2.3. pašvaldību budžets</w:t>
            </w:r>
          </w:p>
        </w:tc>
        <w:tc>
          <w:tcPr>
            <w:tcW w:w="931" w:type="dxa"/>
            <w:tcBorders>
              <w:top w:val="outset" w:sz="6" w:space="0" w:color="auto"/>
              <w:left w:val="outset" w:sz="6" w:space="0" w:color="auto"/>
              <w:bottom w:val="outset" w:sz="6" w:space="0" w:color="auto"/>
              <w:right w:val="outset" w:sz="6" w:space="0" w:color="auto"/>
            </w:tcBorders>
            <w:vAlign w:val="center"/>
          </w:tcPr>
          <w:p w14:paraId="2A712EDE"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531FD576"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074CEF68"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D890C99"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7DB51CAD"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81A038C"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0906DE84"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p>
        </w:tc>
      </w:tr>
      <w:tr w:rsidR="007723BA" w:rsidRPr="006F5081" w14:paraId="162FAF2D"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116AF6AA"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3. Finansiālā ietekme</w:t>
            </w:r>
          </w:p>
        </w:tc>
        <w:tc>
          <w:tcPr>
            <w:tcW w:w="931" w:type="dxa"/>
            <w:tcBorders>
              <w:top w:val="outset" w:sz="6" w:space="0" w:color="auto"/>
              <w:left w:val="outset" w:sz="6" w:space="0" w:color="auto"/>
              <w:bottom w:val="outset" w:sz="6" w:space="0" w:color="auto"/>
              <w:right w:val="outset" w:sz="6" w:space="0" w:color="auto"/>
            </w:tcBorders>
            <w:vAlign w:val="center"/>
          </w:tcPr>
          <w:p w14:paraId="4F858A69"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511BAFE4"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2E379E30"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6BC618B"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23F6DDA0"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0A10B94" w14:textId="77777777" w:rsidR="007723BA" w:rsidRPr="006F5081"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4D461F68" w14:textId="77777777" w:rsidR="007723BA" w:rsidRPr="006F5081" w:rsidRDefault="007723BA" w:rsidP="00630627">
            <w:pPr>
              <w:spacing w:after="0" w:line="240" w:lineRule="auto"/>
              <w:jc w:val="center"/>
              <w:rPr>
                <w:rFonts w:ascii="Times New Roman" w:eastAsia="Times New Roman" w:hAnsi="Times New Roman" w:cs="Times New Roman"/>
                <w:iCs/>
                <w:sz w:val="20"/>
                <w:szCs w:val="20"/>
                <w:lang w:eastAsia="lv-LV"/>
              </w:rPr>
            </w:pPr>
          </w:p>
        </w:tc>
      </w:tr>
      <w:tr w:rsidR="007723BA" w:rsidRPr="006F5081" w14:paraId="6F12F62F"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3E601562"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3.1. valsts pamatbudžets</w:t>
            </w:r>
          </w:p>
        </w:tc>
        <w:tc>
          <w:tcPr>
            <w:tcW w:w="931" w:type="dxa"/>
            <w:tcBorders>
              <w:top w:val="outset" w:sz="6" w:space="0" w:color="auto"/>
              <w:left w:val="outset" w:sz="6" w:space="0" w:color="auto"/>
              <w:bottom w:val="outset" w:sz="6" w:space="0" w:color="auto"/>
              <w:right w:val="outset" w:sz="6" w:space="0" w:color="auto"/>
            </w:tcBorders>
            <w:vAlign w:val="center"/>
          </w:tcPr>
          <w:p w14:paraId="072127BF"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1DFE8761"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489C6888"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33631082"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7A7D22AA"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DA7D2FD" w14:textId="77777777" w:rsidR="007723BA" w:rsidRPr="006F5081"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1A55F7DF" w14:textId="77777777" w:rsidR="007723BA" w:rsidRPr="006F5081" w:rsidRDefault="007723BA" w:rsidP="00630627">
            <w:pPr>
              <w:spacing w:after="0" w:line="240" w:lineRule="auto"/>
              <w:jc w:val="center"/>
              <w:rPr>
                <w:rFonts w:ascii="Times New Roman" w:eastAsia="Times New Roman" w:hAnsi="Times New Roman" w:cs="Times New Roman"/>
                <w:iCs/>
                <w:sz w:val="20"/>
                <w:szCs w:val="20"/>
                <w:lang w:eastAsia="lv-LV"/>
              </w:rPr>
            </w:pPr>
          </w:p>
        </w:tc>
      </w:tr>
      <w:tr w:rsidR="007723BA" w:rsidRPr="00271FFF" w14:paraId="45C0BF9B"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457B508D"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3.2. speciālais budžets</w:t>
            </w:r>
          </w:p>
        </w:tc>
        <w:tc>
          <w:tcPr>
            <w:tcW w:w="931" w:type="dxa"/>
            <w:tcBorders>
              <w:top w:val="outset" w:sz="6" w:space="0" w:color="auto"/>
              <w:left w:val="outset" w:sz="6" w:space="0" w:color="auto"/>
              <w:bottom w:val="outset" w:sz="6" w:space="0" w:color="auto"/>
              <w:right w:val="outset" w:sz="6" w:space="0" w:color="auto"/>
            </w:tcBorders>
            <w:vAlign w:val="center"/>
          </w:tcPr>
          <w:p w14:paraId="26CE0538"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48AB0092"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6341C8F6"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DC78318"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19FD27FB"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FF39031"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5DEF70A1"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p>
        </w:tc>
      </w:tr>
      <w:tr w:rsidR="007723BA" w:rsidRPr="00271FFF" w14:paraId="2EC636B6"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0E838576"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3.3. pašvaldību budžets</w:t>
            </w:r>
          </w:p>
        </w:tc>
        <w:tc>
          <w:tcPr>
            <w:tcW w:w="931" w:type="dxa"/>
            <w:tcBorders>
              <w:top w:val="outset" w:sz="6" w:space="0" w:color="auto"/>
              <w:left w:val="outset" w:sz="6" w:space="0" w:color="auto"/>
              <w:bottom w:val="outset" w:sz="6" w:space="0" w:color="auto"/>
              <w:right w:val="outset" w:sz="6" w:space="0" w:color="auto"/>
            </w:tcBorders>
            <w:vAlign w:val="center"/>
          </w:tcPr>
          <w:p w14:paraId="66A3C5C6"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33E728D4"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46161612"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8598E33"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7EB11650"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AB1E875"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462FB1D6"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p>
        </w:tc>
      </w:tr>
      <w:tr w:rsidR="007723BA" w:rsidRPr="00BA4782" w14:paraId="4130758B" w14:textId="77777777" w:rsidTr="00ED7156">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052DA10A"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931" w:type="dxa"/>
            <w:tcBorders>
              <w:top w:val="outset" w:sz="6" w:space="0" w:color="auto"/>
              <w:left w:val="outset" w:sz="6" w:space="0" w:color="auto"/>
              <w:bottom w:val="outset" w:sz="6" w:space="0" w:color="auto"/>
              <w:right w:val="outset" w:sz="6" w:space="0" w:color="auto"/>
            </w:tcBorders>
            <w:vAlign w:val="center"/>
          </w:tcPr>
          <w:p w14:paraId="4287A398" w14:textId="70A0EC72"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689BE970"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40576B1E" w14:textId="099D3FB0"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74B53A48" w14:textId="77777777"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tcBorders>
              <w:top w:val="outset" w:sz="6" w:space="0" w:color="auto"/>
              <w:left w:val="outset" w:sz="6" w:space="0" w:color="auto"/>
              <w:bottom w:val="outset" w:sz="6" w:space="0" w:color="auto"/>
              <w:right w:val="outset" w:sz="6" w:space="0" w:color="auto"/>
            </w:tcBorders>
            <w:vAlign w:val="center"/>
          </w:tcPr>
          <w:p w14:paraId="6789DAEF" w14:textId="37065951"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EA0E98D"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6E2CA12F"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r>
      <w:tr w:rsidR="007723BA" w:rsidRPr="00BA4782" w14:paraId="6FB841C8" w14:textId="77777777" w:rsidTr="00ED7156">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7B1A3DDE"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5. Precizēta finansiālā ietekme</w:t>
            </w:r>
          </w:p>
        </w:tc>
        <w:tc>
          <w:tcPr>
            <w:tcW w:w="931" w:type="dxa"/>
            <w:vMerge w:val="restart"/>
            <w:tcBorders>
              <w:top w:val="outset" w:sz="6" w:space="0" w:color="auto"/>
              <w:left w:val="outset" w:sz="6" w:space="0" w:color="auto"/>
              <w:bottom w:val="outset" w:sz="6" w:space="0" w:color="auto"/>
              <w:right w:val="outset" w:sz="6" w:space="0" w:color="auto"/>
            </w:tcBorders>
            <w:vAlign w:val="center"/>
          </w:tcPr>
          <w:p w14:paraId="5D3F259B" w14:textId="24901093" w:rsidR="007723BA" w:rsidRPr="00271FFF"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5A92A49E"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vMerge w:val="restart"/>
            <w:tcBorders>
              <w:top w:val="outset" w:sz="6" w:space="0" w:color="auto"/>
              <w:left w:val="outset" w:sz="6" w:space="0" w:color="auto"/>
              <w:bottom w:val="outset" w:sz="6" w:space="0" w:color="auto"/>
              <w:right w:val="outset" w:sz="6" w:space="0" w:color="auto"/>
            </w:tcBorders>
            <w:vAlign w:val="center"/>
          </w:tcPr>
          <w:p w14:paraId="731A40D4" w14:textId="3AA344B8"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135FF86"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vMerge w:val="restart"/>
            <w:tcBorders>
              <w:top w:val="outset" w:sz="6" w:space="0" w:color="auto"/>
              <w:left w:val="outset" w:sz="6" w:space="0" w:color="auto"/>
              <w:bottom w:val="outset" w:sz="6" w:space="0" w:color="auto"/>
              <w:right w:val="outset" w:sz="6" w:space="0" w:color="auto"/>
            </w:tcBorders>
            <w:vAlign w:val="center"/>
          </w:tcPr>
          <w:p w14:paraId="12AC4D59" w14:textId="689BC361"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77201935"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25740A34"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r>
      <w:tr w:rsidR="007723BA" w:rsidRPr="00BA4782" w14:paraId="3B7DA477" w14:textId="77777777" w:rsidTr="00ED7156">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0AC08E25"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5.1. valsts pamatbudžets</w:t>
            </w:r>
          </w:p>
        </w:tc>
        <w:tc>
          <w:tcPr>
            <w:tcW w:w="931" w:type="dxa"/>
            <w:vMerge/>
            <w:tcBorders>
              <w:top w:val="outset" w:sz="6" w:space="0" w:color="auto"/>
              <w:left w:val="outset" w:sz="6" w:space="0" w:color="auto"/>
              <w:bottom w:val="outset" w:sz="6" w:space="0" w:color="auto"/>
              <w:right w:val="outset" w:sz="6" w:space="0" w:color="auto"/>
            </w:tcBorders>
            <w:vAlign w:val="center"/>
          </w:tcPr>
          <w:p w14:paraId="1819D7EB"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327D07DF"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vMerge/>
            <w:tcBorders>
              <w:top w:val="outset" w:sz="6" w:space="0" w:color="auto"/>
              <w:left w:val="outset" w:sz="6" w:space="0" w:color="auto"/>
              <w:bottom w:val="outset" w:sz="6" w:space="0" w:color="auto"/>
              <w:right w:val="outset" w:sz="6" w:space="0" w:color="auto"/>
            </w:tcBorders>
            <w:vAlign w:val="center"/>
          </w:tcPr>
          <w:p w14:paraId="01A3C404"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02A3844E"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vMerge/>
            <w:tcBorders>
              <w:top w:val="outset" w:sz="6" w:space="0" w:color="auto"/>
              <w:left w:val="outset" w:sz="6" w:space="0" w:color="auto"/>
              <w:bottom w:val="outset" w:sz="6" w:space="0" w:color="auto"/>
              <w:right w:val="outset" w:sz="6" w:space="0" w:color="auto"/>
            </w:tcBorders>
            <w:vAlign w:val="center"/>
          </w:tcPr>
          <w:p w14:paraId="56175650"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8572652"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2265EE8F"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r>
      <w:tr w:rsidR="007723BA" w:rsidRPr="00BA4782" w14:paraId="72746182" w14:textId="77777777" w:rsidTr="00ED7156">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5E1B2BC4"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5.2. speciālais budžets</w:t>
            </w:r>
          </w:p>
        </w:tc>
        <w:tc>
          <w:tcPr>
            <w:tcW w:w="931" w:type="dxa"/>
            <w:vMerge/>
            <w:tcBorders>
              <w:top w:val="outset" w:sz="6" w:space="0" w:color="auto"/>
              <w:left w:val="outset" w:sz="6" w:space="0" w:color="auto"/>
              <w:bottom w:val="outset" w:sz="6" w:space="0" w:color="auto"/>
              <w:right w:val="outset" w:sz="6" w:space="0" w:color="auto"/>
            </w:tcBorders>
            <w:vAlign w:val="center"/>
          </w:tcPr>
          <w:p w14:paraId="536AE36E"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46A3DC03"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vMerge/>
            <w:tcBorders>
              <w:top w:val="outset" w:sz="6" w:space="0" w:color="auto"/>
              <w:left w:val="outset" w:sz="6" w:space="0" w:color="auto"/>
              <w:bottom w:val="outset" w:sz="6" w:space="0" w:color="auto"/>
              <w:right w:val="outset" w:sz="6" w:space="0" w:color="auto"/>
            </w:tcBorders>
            <w:vAlign w:val="center"/>
          </w:tcPr>
          <w:p w14:paraId="173C2BE5"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7A6CAAA2"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vMerge/>
            <w:tcBorders>
              <w:top w:val="outset" w:sz="6" w:space="0" w:color="auto"/>
              <w:left w:val="outset" w:sz="6" w:space="0" w:color="auto"/>
              <w:bottom w:val="outset" w:sz="6" w:space="0" w:color="auto"/>
              <w:right w:val="outset" w:sz="6" w:space="0" w:color="auto"/>
            </w:tcBorders>
            <w:vAlign w:val="center"/>
          </w:tcPr>
          <w:p w14:paraId="35DAFCC4"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D1FC50B"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36D708AB"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r>
      <w:tr w:rsidR="007723BA" w:rsidRPr="00BA4782" w14:paraId="0B827201" w14:textId="77777777" w:rsidTr="00ED7156">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75CDACD0" w14:textId="77777777" w:rsidR="007723BA" w:rsidRPr="00271FFF" w:rsidRDefault="007723BA" w:rsidP="00630627">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5.3. pašvaldību budžets</w:t>
            </w:r>
          </w:p>
        </w:tc>
        <w:tc>
          <w:tcPr>
            <w:tcW w:w="931" w:type="dxa"/>
            <w:vMerge/>
            <w:tcBorders>
              <w:top w:val="outset" w:sz="6" w:space="0" w:color="auto"/>
              <w:left w:val="outset" w:sz="6" w:space="0" w:color="auto"/>
              <w:bottom w:val="outset" w:sz="6" w:space="0" w:color="auto"/>
              <w:right w:val="outset" w:sz="6" w:space="0" w:color="auto"/>
            </w:tcBorders>
            <w:vAlign w:val="center"/>
          </w:tcPr>
          <w:p w14:paraId="6E6B99AD" w14:textId="77777777" w:rsidR="007723BA" w:rsidRPr="00271FFF" w:rsidRDefault="007723BA" w:rsidP="00630627">
            <w:pPr>
              <w:spacing w:after="0" w:line="240" w:lineRule="auto"/>
              <w:jc w:val="center"/>
              <w:rPr>
                <w:rFonts w:ascii="Times New Roman" w:eastAsia="Times New Roman" w:hAnsi="Times New Roman" w:cs="Times New Roman"/>
                <w:iCs/>
                <w:sz w:val="24"/>
                <w:szCs w:val="24"/>
                <w:lang w:eastAsia="lv-LV"/>
              </w:rPr>
            </w:pPr>
          </w:p>
        </w:tc>
        <w:tc>
          <w:tcPr>
            <w:tcW w:w="1143" w:type="dxa"/>
            <w:tcBorders>
              <w:top w:val="outset" w:sz="6" w:space="0" w:color="auto"/>
              <w:left w:val="outset" w:sz="6" w:space="0" w:color="auto"/>
              <w:bottom w:val="outset" w:sz="6" w:space="0" w:color="auto"/>
              <w:right w:val="outset" w:sz="6" w:space="0" w:color="auto"/>
            </w:tcBorders>
            <w:vAlign w:val="center"/>
          </w:tcPr>
          <w:p w14:paraId="30F37444"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vMerge/>
            <w:tcBorders>
              <w:top w:val="outset" w:sz="6" w:space="0" w:color="auto"/>
              <w:left w:val="outset" w:sz="6" w:space="0" w:color="auto"/>
              <w:bottom w:val="outset" w:sz="6" w:space="0" w:color="auto"/>
              <w:right w:val="outset" w:sz="6" w:space="0" w:color="auto"/>
            </w:tcBorders>
            <w:vAlign w:val="center"/>
          </w:tcPr>
          <w:p w14:paraId="06C01645"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2230613"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962" w:type="dxa"/>
            <w:vMerge/>
            <w:tcBorders>
              <w:top w:val="outset" w:sz="6" w:space="0" w:color="auto"/>
              <w:left w:val="outset" w:sz="6" w:space="0" w:color="auto"/>
              <w:bottom w:val="outset" w:sz="6" w:space="0" w:color="auto"/>
              <w:right w:val="outset" w:sz="6" w:space="0" w:color="auto"/>
            </w:tcBorders>
            <w:vAlign w:val="center"/>
          </w:tcPr>
          <w:p w14:paraId="64ACB26F"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0463A9E"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c>
          <w:tcPr>
            <w:tcW w:w="1223" w:type="dxa"/>
            <w:tcBorders>
              <w:top w:val="outset" w:sz="6" w:space="0" w:color="auto"/>
              <w:left w:val="outset" w:sz="6" w:space="0" w:color="auto"/>
              <w:bottom w:val="outset" w:sz="6" w:space="0" w:color="auto"/>
              <w:right w:val="outset" w:sz="6" w:space="0" w:color="auto"/>
            </w:tcBorders>
            <w:vAlign w:val="center"/>
          </w:tcPr>
          <w:p w14:paraId="3143A7A0" w14:textId="77777777" w:rsidR="007723BA" w:rsidRPr="00BA4782" w:rsidRDefault="007723BA" w:rsidP="00630627">
            <w:pPr>
              <w:spacing w:after="0" w:line="240" w:lineRule="auto"/>
              <w:jc w:val="center"/>
              <w:rPr>
                <w:rFonts w:ascii="Times New Roman" w:eastAsia="Times New Roman" w:hAnsi="Times New Roman" w:cs="Times New Roman"/>
                <w:iCs/>
                <w:sz w:val="20"/>
                <w:szCs w:val="20"/>
                <w:lang w:eastAsia="lv-LV"/>
              </w:rPr>
            </w:pPr>
          </w:p>
        </w:tc>
      </w:tr>
      <w:tr w:rsidR="000850FF" w:rsidRPr="00EF6C56" w14:paraId="343038F6" w14:textId="77777777" w:rsidTr="00ED7156">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265C51C7" w14:textId="77777777" w:rsidR="000850FF" w:rsidRPr="00271FFF" w:rsidRDefault="000850FF" w:rsidP="000850FF">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7609" w:type="dxa"/>
            <w:gridSpan w:val="7"/>
            <w:vMerge w:val="restart"/>
            <w:tcBorders>
              <w:top w:val="outset" w:sz="6" w:space="0" w:color="auto"/>
              <w:left w:val="outset" w:sz="6" w:space="0" w:color="auto"/>
              <w:bottom w:val="outset" w:sz="6" w:space="0" w:color="auto"/>
              <w:right w:val="outset" w:sz="6" w:space="0" w:color="auto"/>
            </w:tcBorders>
            <w:vAlign w:val="center"/>
          </w:tcPr>
          <w:p w14:paraId="3C789DCC" w14:textId="199E2246" w:rsidR="000850FF" w:rsidRPr="00487F1A" w:rsidRDefault="00CF39FF" w:rsidP="000850FF">
            <w:pPr>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0850FF" w:rsidRPr="00487F1A">
              <w:rPr>
                <w:rFonts w:ascii="Times New Roman" w:eastAsia="Times New Roman" w:hAnsi="Times New Roman" w:cs="Times New Roman"/>
                <w:sz w:val="24"/>
                <w:szCs w:val="24"/>
                <w:shd w:val="clear" w:color="auto" w:fill="FFFFFF"/>
                <w:lang w:eastAsia="lv-LV"/>
              </w:rPr>
              <w:t>ģentūra</w:t>
            </w:r>
            <w:r w:rsidR="000850FF" w:rsidRPr="00487F1A">
              <w:rPr>
                <w:rFonts w:ascii="Times New Roman" w:hAnsi="Times New Roman" w:cs="Times New Roman"/>
                <w:bCs/>
                <w:sz w:val="24"/>
                <w:szCs w:val="24"/>
              </w:rPr>
              <w:t xml:space="preserve"> ir budžeta nefinansēta iestāde un Veselības ministrijas budžetā tā netiks atspoguļota. </w:t>
            </w:r>
          </w:p>
          <w:p w14:paraId="5EA6F5A5" w14:textId="6295923F" w:rsidR="00BB7542" w:rsidRPr="00142CD8" w:rsidRDefault="000850FF" w:rsidP="00BB7542">
            <w:pPr>
              <w:spacing w:after="0" w:line="240" w:lineRule="auto"/>
              <w:jc w:val="both"/>
              <w:rPr>
                <w:rFonts w:ascii="Times New Roman" w:hAnsi="Times New Roman" w:cs="Times New Roman"/>
                <w:sz w:val="24"/>
                <w:szCs w:val="24"/>
              </w:rPr>
            </w:pPr>
            <w:r w:rsidRPr="00487F1A">
              <w:rPr>
                <w:rFonts w:ascii="Times New Roman" w:eastAsia="Times New Roman" w:hAnsi="Times New Roman" w:cs="Times New Roman"/>
                <w:sz w:val="24"/>
                <w:szCs w:val="24"/>
                <w:lang w:eastAsia="lv-LV"/>
              </w:rPr>
              <w:t>Saskaņā ar Likuma par budžetu un finanšu vadību 41. panta (1</w:t>
            </w:r>
            <w:r w:rsidR="000238BD">
              <w:rPr>
                <w:rFonts w:ascii="Times New Roman" w:eastAsia="Times New Roman" w:hAnsi="Times New Roman" w:cs="Times New Roman"/>
                <w:sz w:val="24"/>
                <w:szCs w:val="24"/>
                <w:vertAlign w:val="superscript"/>
                <w:lang w:eastAsia="lv-LV"/>
              </w:rPr>
              <w:t>1</w:t>
            </w:r>
            <w:r w:rsidRPr="00487F1A">
              <w:rPr>
                <w:rFonts w:ascii="Times New Roman" w:eastAsia="Times New Roman" w:hAnsi="Times New Roman" w:cs="Times New Roman"/>
                <w:sz w:val="24"/>
                <w:szCs w:val="24"/>
                <w:lang w:eastAsia="lv-LV"/>
              </w:rPr>
              <w:t xml:space="preserve">) daļu, </w:t>
            </w:r>
            <w:r w:rsidR="00CF39FF">
              <w:rPr>
                <w:rFonts w:ascii="Times New Roman" w:eastAsia="Times New Roman" w:hAnsi="Times New Roman" w:cs="Times New Roman"/>
                <w:sz w:val="24"/>
                <w:szCs w:val="24"/>
                <w:lang w:eastAsia="lv-LV"/>
              </w:rPr>
              <w:t>A</w:t>
            </w:r>
            <w:r w:rsidRPr="00487F1A">
              <w:rPr>
                <w:rFonts w:ascii="Times New Roman" w:eastAsia="Times New Roman" w:hAnsi="Times New Roman" w:cs="Times New Roman"/>
                <w:sz w:val="24"/>
                <w:szCs w:val="24"/>
                <w:lang w:eastAsia="lv-LV"/>
              </w:rPr>
              <w:t xml:space="preserve">ģentūras </w:t>
            </w:r>
            <w:r w:rsidRPr="000970EB">
              <w:rPr>
                <w:rFonts w:ascii="Times New Roman" w:hAnsi="Times New Roman" w:cs="Times New Roman"/>
                <w:sz w:val="24"/>
                <w:szCs w:val="24"/>
              </w:rPr>
              <w:t>kā budžeta nefinansētas iestādes 202</w:t>
            </w:r>
            <w:r w:rsidR="008220F8">
              <w:rPr>
                <w:rFonts w:ascii="Times New Roman" w:hAnsi="Times New Roman" w:cs="Times New Roman"/>
                <w:sz w:val="24"/>
                <w:szCs w:val="24"/>
              </w:rPr>
              <w:t>1.</w:t>
            </w:r>
            <w:r w:rsidRPr="000970EB">
              <w:rPr>
                <w:rFonts w:ascii="Times New Roman" w:hAnsi="Times New Roman" w:cs="Times New Roman"/>
                <w:sz w:val="24"/>
                <w:szCs w:val="24"/>
              </w:rPr>
              <w:t xml:space="preserve">gada budžets apstiprināts </w:t>
            </w:r>
            <w:r w:rsidRPr="00487F1A">
              <w:rPr>
                <w:rFonts w:ascii="Times New Roman" w:hAnsi="Times New Roman" w:cs="Times New Roman"/>
                <w:bCs/>
                <w:color w:val="000000"/>
                <w:sz w:val="24"/>
                <w:szCs w:val="24"/>
              </w:rPr>
              <w:t>Ministru kabineta 202</w:t>
            </w:r>
            <w:r w:rsidR="008220F8">
              <w:rPr>
                <w:rFonts w:ascii="Times New Roman" w:hAnsi="Times New Roman" w:cs="Times New Roman"/>
                <w:bCs/>
                <w:color w:val="000000"/>
                <w:sz w:val="24"/>
                <w:szCs w:val="24"/>
              </w:rPr>
              <w:t>0</w:t>
            </w:r>
            <w:r w:rsidRPr="00487F1A">
              <w:rPr>
                <w:rFonts w:ascii="Times New Roman" w:hAnsi="Times New Roman" w:cs="Times New Roman"/>
                <w:bCs/>
                <w:color w:val="000000"/>
                <w:sz w:val="24"/>
                <w:szCs w:val="24"/>
              </w:rPr>
              <w:t>.</w:t>
            </w:r>
            <w:r w:rsidRPr="00CD7CE0">
              <w:rPr>
                <w:rFonts w:ascii="Times New Roman" w:hAnsi="Times New Roman" w:cs="Times New Roman"/>
                <w:bCs/>
                <w:color w:val="000000"/>
                <w:sz w:val="24"/>
                <w:szCs w:val="24"/>
              </w:rPr>
              <w:t xml:space="preserve">gada </w:t>
            </w:r>
            <w:r w:rsidR="00CD7CE0" w:rsidRPr="00CD7CE0">
              <w:rPr>
                <w:rFonts w:ascii="Times New Roman" w:hAnsi="Times New Roman" w:cs="Times New Roman"/>
                <w:bCs/>
                <w:color w:val="000000"/>
                <w:sz w:val="24"/>
                <w:szCs w:val="24"/>
              </w:rPr>
              <w:t>30</w:t>
            </w:r>
            <w:r w:rsidR="008220F8" w:rsidRPr="00CD7CE0">
              <w:rPr>
                <w:rFonts w:ascii="Times New Roman" w:hAnsi="Times New Roman" w:cs="Times New Roman"/>
                <w:bCs/>
                <w:color w:val="000000"/>
                <w:sz w:val="24"/>
                <w:szCs w:val="24"/>
              </w:rPr>
              <w:t>.oktobrī</w:t>
            </w:r>
            <w:r w:rsidRPr="00487F1A">
              <w:rPr>
                <w:rFonts w:ascii="Times New Roman" w:hAnsi="Times New Roman" w:cs="Times New Roman"/>
                <w:bCs/>
                <w:color w:val="000000"/>
                <w:sz w:val="24"/>
                <w:szCs w:val="24"/>
              </w:rPr>
              <w:t xml:space="preserve"> rīkojumā Nr. </w:t>
            </w:r>
            <w:r w:rsidR="00CD7CE0">
              <w:rPr>
                <w:rFonts w:ascii="Times New Roman" w:hAnsi="Times New Roman" w:cs="Times New Roman"/>
                <w:bCs/>
                <w:color w:val="000000"/>
                <w:sz w:val="24"/>
                <w:szCs w:val="24"/>
              </w:rPr>
              <w:t>638</w:t>
            </w:r>
            <w:r w:rsidRPr="00487F1A">
              <w:rPr>
                <w:rFonts w:ascii="Times New Roman" w:hAnsi="Times New Roman" w:cs="Times New Roman"/>
                <w:bCs/>
                <w:color w:val="000000"/>
                <w:sz w:val="24"/>
                <w:szCs w:val="24"/>
              </w:rPr>
              <w:t xml:space="preserve"> </w:t>
            </w:r>
            <w:r w:rsidR="00BB7542" w:rsidRPr="00487F1A">
              <w:rPr>
                <w:rFonts w:ascii="Times New Roman" w:hAnsi="Times New Roman" w:cs="Times New Roman"/>
                <w:bCs/>
                <w:color w:val="000000"/>
                <w:sz w:val="24"/>
                <w:szCs w:val="24"/>
              </w:rPr>
              <w:t xml:space="preserve"> "Par Zāļu valsts aģentūras 202</w:t>
            </w:r>
            <w:r w:rsidR="00BB7542">
              <w:rPr>
                <w:rFonts w:ascii="Times New Roman" w:hAnsi="Times New Roman" w:cs="Times New Roman"/>
                <w:bCs/>
                <w:color w:val="000000"/>
                <w:sz w:val="24"/>
                <w:szCs w:val="24"/>
              </w:rPr>
              <w:t>1</w:t>
            </w:r>
            <w:r w:rsidR="00BB7542" w:rsidRPr="00487F1A">
              <w:rPr>
                <w:rFonts w:ascii="Times New Roman" w:hAnsi="Times New Roman" w:cs="Times New Roman"/>
                <w:bCs/>
                <w:color w:val="000000"/>
                <w:sz w:val="24"/>
                <w:szCs w:val="24"/>
              </w:rPr>
              <w:t>. gada budžeta apstiprināšanu</w:t>
            </w:r>
            <w:r w:rsidR="00BB7542" w:rsidRPr="00487F1A">
              <w:rPr>
                <w:rFonts w:ascii="Times New Roman" w:hAnsi="Times New Roman" w:cs="Times New Roman"/>
                <w:color w:val="000000"/>
                <w:sz w:val="24"/>
                <w:szCs w:val="24"/>
              </w:rPr>
              <w:t xml:space="preserve">" </w:t>
            </w:r>
            <w:r w:rsidR="00BB7542" w:rsidRPr="00487F1A">
              <w:rPr>
                <w:rFonts w:ascii="Times New Roman" w:hAnsi="Times New Roman" w:cs="Times New Roman"/>
                <w:sz w:val="24"/>
                <w:szCs w:val="24"/>
              </w:rPr>
              <w:t xml:space="preserve">ieņēmumu daļā </w:t>
            </w:r>
            <w:r w:rsidR="00BB7542" w:rsidRPr="00142CD8">
              <w:rPr>
                <w:rFonts w:ascii="Times New Roman" w:hAnsi="Times New Roman" w:cs="Times New Roman"/>
                <w:sz w:val="24"/>
                <w:szCs w:val="24"/>
              </w:rPr>
              <w:t xml:space="preserve">5 451 592 </w:t>
            </w:r>
            <w:r w:rsidR="00BB7542" w:rsidRPr="00142CD8">
              <w:rPr>
                <w:rFonts w:ascii="Times New Roman" w:hAnsi="Times New Roman" w:cs="Times New Roman"/>
                <w:i/>
                <w:sz w:val="24"/>
                <w:szCs w:val="24"/>
              </w:rPr>
              <w:t>euro</w:t>
            </w:r>
            <w:r w:rsidR="00BB7542" w:rsidRPr="00142CD8">
              <w:rPr>
                <w:rFonts w:ascii="Times New Roman" w:hAnsi="Times New Roman" w:cs="Times New Roman"/>
                <w:sz w:val="24"/>
                <w:szCs w:val="24"/>
              </w:rPr>
              <w:t xml:space="preserve"> apmērā un izdevumus 6 056 038 </w:t>
            </w:r>
            <w:r w:rsidR="00BB7542" w:rsidRPr="00142CD8">
              <w:rPr>
                <w:rFonts w:ascii="Times New Roman" w:hAnsi="Times New Roman" w:cs="Times New Roman"/>
                <w:i/>
                <w:sz w:val="24"/>
                <w:szCs w:val="24"/>
              </w:rPr>
              <w:t>euro</w:t>
            </w:r>
            <w:r w:rsidR="00BB7542" w:rsidRPr="00142CD8">
              <w:rPr>
                <w:rFonts w:ascii="Times New Roman" w:hAnsi="Times New Roman" w:cs="Times New Roman"/>
                <w:sz w:val="24"/>
                <w:szCs w:val="24"/>
              </w:rPr>
              <w:t xml:space="preserve"> apmērā (tai skaitā izdevumu finansēšanai novirzot maksas pakalpojumu naudas līdzekļu atlikumu uz 2021.gada 1.janvāri </w:t>
            </w:r>
            <w:r w:rsidR="00BB7542" w:rsidRPr="00142CD8">
              <w:rPr>
                <w:rFonts w:ascii="Times New Roman" w:hAnsi="Times New Roman" w:cs="Times New Roman"/>
                <w:bCs/>
                <w:sz w:val="24"/>
                <w:szCs w:val="24"/>
              </w:rPr>
              <w:t>604 446</w:t>
            </w:r>
            <w:r w:rsidR="00BB7542" w:rsidRPr="00142CD8">
              <w:rPr>
                <w:rFonts w:ascii="Times New Roman" w:hAnsi="Times New Roman" w:cs="Times New Roman"/>
                <w:sz w:val="24"/>
                <w:szCs w:val="24"/>
              </w:rPr>
              <w:t> </w:t>
            </w:r>
            <w:r w:rsidR="00BB7542" w:rsidRPr="00142CD8">
              <w:rPr>
                <w:rFonts w:ascii="Times New Roman" w:hAnsi="Times New Roman" w:cs="Times New Roman"/>
                <w:i/>
                <w:sz w:val="24"/>
                <w:szCs w:val="24"/>
              </w:rPr>
              <w:t>euro</w:t>
            </w:r>
            <w:r w:rsidR="00BB7542" w:rsidRPr="00142CD8">
              <w:rPr>
                <w:rFonts w:ascii="Times New Roman" w:hAnsi="Times New Roman" w:cs="Times New Roman"/>
                <w:sz w:val="24"/>
                <w:szCs w:val="24"/>
              </w:rPr>
              <w:t>).</w:t>
            </w:r>
          </w:p>
          <w:p w14:paraId="462AA21E" w14:textId="77777777" w:rsidR="00BB7542" w:rsidRPr="00487F1A" w:rsidRDefault="00BB7542" w:rsidP="00BB7542">
            <w:pPr>
              <w:spacing w:after="0" w:line="240" w:lineRule="auto"/>
              <w:jc w:val="both"/>
              <w:rPr>
                <w:rFonts w:ascii="Times New Roman" w:eastAsia="Times New Roman" w:hAnsi="Times New Roman" w:cs="Times New Roman"/>
                <w:sz w:val="24"/>
                <w:szCs w:val="24"/>
                <w:lang w:eastAsia="lv-LV"/>
              </w:rPr>
            </w:pPr>
            <w:r w:rsidRPr="00487F1A">
              <w:rPr>
                <w:rFonts w:ascii="Times New Roman" w:eastAsia="Times New Roman" w:hAnsi="Times New Roman" w:cs="Times New Roman"/>
                <w:sz w:val="24"/>
                <w:szCs w:val="24"/>
                <w:lang w:eastAsia="lv-LV"/>
              </w:rPr>
              <w:t>Ņemot vērā, ka Noteikumu projekts paredz maksas pakalpojumu ieņēmumu un izdevumu palielinājumu, tas tiks īstenots palielinot ieņēmumus:</w:t>
            </w:r>
          </w:p>
          <w:p w14:paraId="6C9A374E" w14:textId="77777777" w:rsidR="00BB7542" w:rsidRPr="00901DE2" w:rsidRDefault="00BB7542" w:rsidP="00BB7542">
            <w:pPr>
              <w:tabs>
                <w:tab w:val="left" w:pos="7081"/>
              </w:tabs>
              <w:spacing w:after="0" w:line="240" w:lineRule="auto"/>
              <w:ind w:right="136"/>
              <w:jc w:val="both"/>
              <w:rPr>
                <w:rFonts w:ascii="Times New Roman" w:hAnsi="Times New Roman" w:cs="Times New Roman"/>
                <w:sz w:val="24"/>
                <w:szCs w:val="24"/>
              </w:rPr>
            </w:pPr>
          </w:p>
          <w:p w14:paraId="7348A671" w14:textId="06D86E52" w:rsidR="00BB7542" w:rsidRPr="008F5363" w:rsidRDefault="00BB7542" w:rsidP="00BB7542">
            <w:pPr>
              <w:spacing w:after="0" w:line="240" w:lineRule="auto"/>
              <w:jc w:val="both"/>
              <w:rPr>
                <w:rFonts w:ascii="Times New Roman" w:eastAsia="Times New Roman" w:hAnsi="Times New Roman" w:cs="Times New Roman"/>
                <w:color w:val="000000"/>
                <w:sz w:val="24"/>
                <w:szCs w:val="24"/>
                <w:lang w:eastAsia="lv-LV"/>
              </w:rPr>
            </w:pPr>
            <w:r w:rsidRPr="00901DE2">
              <w:rPr>
                <w:rFonts w:ascii="Times New Roman" w:eastAsia="Times New Roman" w:hAnsi="Times New Roman" w:cs="Times New Roman"/>
                <w:sz w:val="24"/>
                <w:szCs w:val="24"/>
                <w:u w:val="single"/>
                <w:lang w:eastAsia="lv-LV"/>
              </w:rPr>
              <w:t>20</w:t>
            </w:r>
            <w:r>
              <w:rPr>
                <w:rFonts w:ascii="Times New Roman" w:eastAsia="Times New Roman" w:hAnsi="Times New Roman" w:cs="Times New Roman"/>
                <w:sz w:val="24"/>
                <w:szCs w:val="24"/>
                <w:u w:val="single"/>
                <w:lang w:eastAsia="lv-LV"/>
              </w:rPr>
              <w:t>21</w:t>
            </w:r>
            <w:r w:rsidRPr="00901DE2">
              <w:rPr>
                <w:rFonts w:ascii="Times New Roman" w:eastAsia="Times New Roman" w:hAnsi="Times New Roman" w:cs="Times New Roman"/>
                <w:sz w:val="24"/>
                <w:szCs w:val="24"/>
                <w:u w:val="single"/>
                <w:lang w:eastAsia="lv-LV"/>
              </w:rPr>
              <w:t>.gadam:</w:t>
            </w:r>
            <w:r w:rsidRPr="00901DE2">
              <w:rPr>
                <w:rFonts w:ascii="Times New Roman" w:eastAsia="Times New Roman" w:hAnsi="Times New Roman" w:cs="Times New Roman"/>
                <w:sz w:val="24"/>
                <w:szCs w:val="24"/>
                <w:lang w:eastAsia="lv-LV"/>
              </w:rPr>
              <w:t xml:space="preserve"> </w:t>
            </w:r>
            <w:r w:rsidRPr="00901DE2">
              <w:rPr>
                <w:rFonts w:ascii="Times New Roman" w:eastAsia="Times New Roman" w:hAnsi="Times New Roman" w:cs="Times New Roman"/>
                <w:sz w:val="24"/>
                <w:szCs w:val="24"/>
                <w:shd w:val="clear" w:color="auto" w:fill="FFFFFF"/>
                <w:lang w:eastAsia="lv-LV"/>
              </w:rPr>
              <w:t>202</w:t>
            </w:r>
            <w:r>
              <w:rPr>
                <w:rFonts w:ascii="Times New Roman" w:eastAsia="Times New Roman" w:hAnsi="Times New Roman" w:cs="Times New Roman"/>
                <w:sz w:val="24"/>
                <w:szCs w:val="24"/>
                <w:shd w:val="clear" w:color="auto" w:fill="FFFFFF"/>
                <w:lang w:eastAsia="lv-LV"/>
              </w:rPr>
              <w:t xml:space="preserve">1.gadā </w:t>
            </w:r>
            <w:r w:rsidR="00CF39FF">
              <w:rPr>
                <w:rFonts w:ascii="Times New Roman" w:eastAsia="Times New Roman" w:hAnsi="Times New Roman" w:cs="Times New Roman"/>
                <w:sz w:val="24"/>
                <w:szCs w:val="24"/>
                <w:lang w:eastAsia="lv-LV"/>
              </w:rPr>
              <w:t>A</w:t>
            </w:r>
            <w:r w:rsidRPr="00901DE2">
              <w:rPr>
                <w:rFonts w:ascii="Times New Roman" w:eastAsia="Times New Roman" w:hAnsi="Times New Roman" w:cs="Times New Roman"/>
                <w:sz w:val="24"/>
                <w:szCs w:val="24"/>
                <w:shd w:val="clear" w:color="auto" w:fill="FFFFFF"/>
                <w:lang w:eastAsia="lv-LV"/>
              </w:rPr>
              <w:t xml:space="preserve">ģentūrai plānots pašu ieņēmumu no maksas pakalpojumiem palielinājums </w:t>
            </w:r>
            <w:r w:rsidRPr="008F5363">
              <w:rPr>
                <w:rFonts w:ascii="Times New Roman" w:eastAsia="Times New Roman" w:hAnsi="Times New Roman" w:cs="Times New Roman"/>
                <w:sz w:val="24"/>
                <w:szCs w:val="24"/>
                <w:shd w:val="clear" w:color="auto" w:fill="FFFFFF"/>
                <w:lang w:eastAsia="lv-LV"/>
              </w:rPr>
              <w:t xml:space="preserve">par </w:t>
            </w:r>
            <w:r w:rsidRPr="008F5363">
              <w:rPr>
                <w:rFonts w:ascii="Times New Roman" w:eastAsia="Times New Roman" w:hAnsi="Times New Roman" w:cs="Times New Roman"/>
                <w:b/>
                <w:color w:val="000000"/>
                <w:sz w:val="24"/>
                <w:szCs w:val="24"/>
                <w:shd w:val="clear" w:color="auto" w:fill="FFFFFF"/>
                <w:lang w:eastAsia="lv-LV"/>
              </w:rPr>
              <w:t>53</w:t>
            </w:r>
            <w:r w:rsidR="002E6DBB" w:rsidRPr="008F5363">
              <w:rPr>
                <w:rFonts w:ascii="Times New Roman" w:eastAsia="Times New Roman" w:hAnsi="Times New Roman" w:cs="Times New Roman"/>
                <w:b/>
                <w:color w:val="000000"/>
                <w:sz w:val="24"/>
                <w:szCs w:val="24"/>
                <w:shd w:val="clear" w:color="auto" w:fill="FFFFFF"/>
                <w:lang w:eastAsia="lv-LV"/>
              </w:rPr>
              <w:t>2</w:t>
            </w:r>
            <w:r w:rsidRPr="008F5363">
              <w:rPr>
                <w:rFonts w:ascii="Times New Roman" w:eastAsia="Times New Roman" w:hAnsi="Times New Roman" w:cs="Times New Roman"/>
                <w:b/>
                <w:color w:val="000000"/>
                <w:sz w:val="24"/>
                <w:szCs w:val="24"/>
                <w:shd w:val="clear" w:color="auto" w:fill="FFFFFF"/>
                <w:lang w:eastAsia="lv-LV"/>
              </w:rPr>
              <w:t xml:space="preserve"> euro</w:t>
            </w:r>
            <w:r w:rsidRPr="008F5363">
              <w:rPr>
                <w:rFonts w:ascii="Times New Roman" w:eastAsia="Times New Roman" w:hAnsi="Times New Roman" w:cs="Times New Roman"/>
                <w:color w:val="000000"/>
                <w:sz w:val="24"/>
                <w:szCs w:val="24"/>
                <w:shd w:val="clear" w:color="auto" w:fill="FFFFFF"/>
                <w:lang w:eastAsia="lv-LV"/>
              </w:rPr>
              <w:t xml:space="preserve"> šādā sadalījumā pa izdevumu kodiem atbilstoši ekonomiskajām kategorijām</w:t>
            </w:r>
            <w:r w:rsidRPr="008F5363">
              <w:rPr>
                <w:rFonts w:ascii="Times New Roman" w:eastAsia="Times New Roman" w:hAnsi="Times New Roman" w:cs="Times New Roman"/>
                <w:color w:val="000000"/>
                <w:sz w:val="24"/>
                <w:szCs w:val="24"/>
                <w:lang w:eastAsia="lv-LV"/>
              </w:rPr>
              <w:t>:</w:t>
            </w:r>
          </w:p>
          <w:p w14:paraId="452627AC" w14:textId="21ADD147" w:rsidR="00BB7542" w:rsidRPr="008F5363" w:rsidRDefault="00BB7542" w:rsidP="00BB7542">
            <w:pPr>
              <w:spacing w:after="0" w:line="240" w:lineRule="auto"/>
              <w:jc w:val="both"/>
              <w:rPr>
                <w:rFonts w:ascii="Times New Roman" w:eastAsia="Times New Roman" w:hAnsi="Times New Roman" w:cs="Times New Roman"/>
                <w:color w:val="000000"/>
                <w:sz w:val="24"/>
                <w:szCs w:val="24"/>
                <w:lang w:eastAsia="lv-LV"/>
              </w:rPr>
            </w:pPr>
            <w:r w:rsidRPr="008F5363">
              <w:rPr>
                <w:rFonts w:ascii="Times New Roman" w:eastAsia="Times New Roman" w:hAnsi="Times New Roman" w:cs="Times New Roman"/>
                <w:color w:val="000000"/>
                <w:sz w:val="24"/>
                <w:szCs w:val="24"/>
                <w:lang w:eastAsia="lv-LV"/>
              </w:rPr>
              <w:t>EKK 1000 (Atlīdzība) 35</w:t>
            </w:r>
            <w:r w:rsidR="00927D28" w:rsidRPr="008F5363">
              <w:rPr>
                <w:rFonts w:ascii="Times New Roman" w:eastAsia="Times New Roman" w:hAnsi="Times New Roman" w:cs="Times New Roman"/>
                <w:color w:val="000000"/>
                <w:sz w:val="24"/>
                <w:szCs w:val="24"/>
                <w:lang w:eastAsia="lv-LV"/>
              </w:rPr>
              <w:t>6</w:t>
            </w:r>
            <w:r w:rsidRPr="008F5363">
              <w:rPr>
                <w:rFonts w:ascii="Times New Roman" w:eastAsia="Times New Roman" w:hAnsi="Times New Roman" w:cs="Times New Roman"/>
                <w:color w:val="000000"/>
                <w:sz w:val="24"/>
                <w:szCs w:val="24"/>
                <w:lang w:eastAsia="lv-LV"/>
              </w:rPr>
              <w:t xml:space="preserve"> euro</w:t>
            </w:r>
          </w:p>
          <w:p w14:paraId="63CCDD9B" w14:textId="77777777" w:rsidR="00BB7542" w:rsidRPr="008F5363" w:rsidRDefault="00BB7542" w:rsidP="00BB7542">
            <w:pPr>
              <w:spacing w:after="0" w:line="240" w:lineRule="auto"/>
              <w:jc w:val="both"/>
              <w:rPr>
                <w:rFonts w:ascii="Times New Roman" w:eastAsia="Times New Roman" w:hAnsi="Times New Roman" w:cs="Times New Roman"/>
                <w:color w:val="000000"/>
                <w:sz w:val="24"/>
                <w:szCs w:val="24"/>
                <w:lang w:eastAsia="lv-LV"/>
              </w:rPr>
            </w:pPr>
            <w:r w:rsidRPr="008F5363">
              <w:rPr>
                <w:rFonts w:ascii="Times New Roman" w:eastAsia="Times New Roman" w:hAnsi="Times New Roman" w:cs="Times New Roman"/>
                <w:color w:val="000000"/>
                <w:sz w:val="24"/>
                <w:szCs w:val="24"/>
                <w:lang w:eastAsia="lv-LV"/>
              </w:rPr>
              <w:t>EKK 2000 (Preces un pakalpojumi) 100 euro</w:t>
            </w:r>
          </w:p>
          <w:p w14:paraId="455E6145" w14:textId="77777777" w:rsidR="00BB7542" w:rsidRPr="008F5363" w:rsidRDefault="00BB7542" w:rsidP="00BB7542">
            <w:pPr>
              <w:spacing w:after="0" w:line="240" w:lineRule="auto"/>
              <w:jc w:val="both"/>
              <w:rPr>
                <w:rFonts w:ascii="Times New Roman" w:eastAsia="Times New Roman" w:hAnsi="Times New Roman" w:cs="Times New Roman"/>
                <w:color w:val="000000"/>
                <w:sz w:val="24"/>
                <w:szCs w:val="24"/>
                <w:lang w:eastAsia="lv-LV"/>
              </w:rPr>
            </w:pPr>
            <w:r w:rsidRPr="008F5363">
              <w:rPr>
                <w:rFonts w:ascii="Times New Roman" w:eastAsia="Times New Roman" w:hAnsi="Times New Roman" w:cs="Times New Roman"/>
                <w:color w:val="000000"/>
                <w:sz w:val="24"/>
                <w:szCs w:val="24"/>
                <w:lang w:eastAsia="lv-LV"/>
              </w:rPr>
              <w:t>EKK 5000 (Kapitālie izdevumi) 76 euro</w:t>
            </w:r>
          </w:p>
          <w:p w14:paraId="50C6655D" w14:textId="1EBA6BCD" w:rsidR="00BB7542" w:rsidRPr="008F5363" w:rsidRDefault="00BB7542" w:rsidP="00BB7542">
            <w:pPr>
              <w:spacing w:after="0" w:line="240" w:lineRule="auto"/>
              <w:jc w:val="both"/>
              <w:rPr>
                <w:rFonts w:ascii="Times New Roman" w:hAnsi="Times New Roman" w:cs="Times New Roman"/>
                <w:sz w:val="24"/>
                <w:szCs w:val="24"/>
              </w:rPr>
            </w:pPr>
            <w:r w:rsidRPr="008F5363">
              <w:rPr>
                <w:rFonts w:ascii="Times New Roman" w:hAnsi="Times New Roman" w:cs="Times New Roman"/>
                <w:sz w:val="24"/>
                <w:szCs w:val="24"/>
              </w:rPr>
              <w:t xml:space="preserve">Plānotie maksas pakalpojumu ieņēmumi 2021. gadā ir   </w:t>
            </w:r>
            <w:r w:rsidRPr="008F5363">
              <w:rPr>
                <w:rFonts w:ascii="Times New Roman" w:hAnsi="Times New Roman" w:cs="Times New Roman"/>
                <w:b/>
                <w:sz w:val="24"/>
                <w:szCs w:val="24"/>
              </w:rPr>
              <w:t>53</w:t>
            </w:r>
            <w:r w:rsidR="00927D28" w:rsidRPr="008F5363">
              <w:rPr>
                <w:rFonts w:ascii="Times New Roman" w:hAnsi="Times New Roman" w:cs="Times New Roman"/>
                <w:b/>
                <w:sz w:val="24"/>
                <w:szCs w:val="24"/>
              </w:rPr>
              <w:t>2</w:t>
            </w:r>
            <w:r w:rsidRPr="008F5363">
              <w:rPr>
                <w:rFonts w:ascii="Times New Roman" w:hAnsi="Times New Roman" w:cs="Times New Roman"/>
                <w:b/>
                <w:sz w:val="24"/>
                <w:szCs w:val="24"/>
              </w:rPr>
              <w:t xml:space="preserve"> </w:t>
            </w:r>
            <w:r w:rsidRPr="008F5363">
              <w:rPr>
                <w:rFonts w:ascii="Times New Roman" w:eastAsia="Times New Roman" w:hAnsi="Times New Roman" w:cs="Times New Roman"/>
                <w:color w:val="000000"/>
                <w:sz w:val="24"/>
                <w:szCs w:val="24"/>
                <w:shd w:val="clear" w:color="auto" w:fill="FFFFFF"/>
                <w:lang w:eastAsia="lv-LV"/>
              </w:rPr>
              <w:t xml:space="preserve"> </w:t>
            </w:r>
            <w:r w:rsidRPr="008F5363">
              <w:rPr>
                <w:rFonts w:ascii="Times New Roman" w:hAnsi="Times New Roman" w:cs="Times New Roman"/>
                <w:b/>
                <w:sz w:val="24"/>
                <w:szCs w:val="24"/>
              </w:rPr>
              <w:t>euro</w:t>
            </w:r>
            <w:r w:rsidRPr="008F5363">
              <w:rPr>
                <w:rFonts w:ascii="Times New Roman" w:hAnsi="Times New Roman" w:cs="Times New Roman"/>
                <w:sz w:val="24"/>
                <w:szCs w:val="24"/>
              </w:rPr>
              <w:t xml:space="preserve"> šādā sadalījumā: </w:t>
            </w:r>
          </w:p>
          <w:p w14:paraId="197E9C13" w14:textId="77777777" w:rsidR="00D46A44" w:rsidRPr="008F5363" w:rsidRDefault="00D46A44" w:rsidP="00BB7542">
            <w:pPr>
              <w:spacing w:after="0" w:line="240" w:lineRule="auto"/>
              <w:jc w:val="both"/>
              <w:rPr>
                <w:rFonts w:ascii="Times New Roman" w:hAnsi="Times New Roman" w:cs="Times New Roman"/>
                <w:sz w:val="24"/>
                <w:szCs w:val="24"/>
              </w:rPr>
            </w:pPr>
          </w:p>
          <w:tbl>
            <w:tblPr>
              <w:tblW w:w="7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1559"/>
              <w:gridCol w:w="1739"/>
              <w:gridCol w:w="1470"/>
            </w:tblGrid>
            <w:tr w:rsidR="00BB7542" w:rsidRPr="008F5363" w14:paraId="72CD9229" w14:textId="77777777" w:rsidTr="00E3690C">
              <w:trPr>
                <w:trHeight w:val="712"/>
                <w:jc w:val="center"/>
              </w:trPr>
              <w:tc>
                <w:tcPr>
                  <w:tcW w:w="2673" w:type="dxa"/>
                  <w:vMerge w:val="restart"/>
                  <w:shd w:val="clear" w:color="auto" w:fill="auto"/>
                  <w:vAlign w:val="center"/>
                  <w:hideMark/>
                </w:tcPr>
                <w:p w14:paraId="662B7DB2" w14:textId="77777777" w:rsidR="00BB7542" w:rsidRPr="008F5363" w:rsidRDefault="00BB7542" w:rsidP="00BB7542">
                  <w:pPr>
                    <w:spacing w:after="0" w:line="240" w:lineRule="auto"/>
                    <w:jc w:val="center"/>
                    <w:rPr>
                      <w:rFonts w:ascii="Times New Roman" w:hAnsi="Times New Roman" w:cs="Times New Roman"/>
                      <w:b/>
                      <w:sz w:val="24"/>
                      <w:szCs w:val="24"/>
                    </w:rPr>
                  </w:pPr>
                  <w:r w:rsidRPr="008F5363">
                    <w:rPr>
                      <w:rFonts w:ascii="Times New Roman" w:hAnsi="Times New Roman" w:cs="Times New Roman"/>
                      <w:b/>
                      <w:sz w:val="24"/>
                      <w:szCs w:val="24"/>
                    </w:rPr>
                    <w:t>Pakalpojuma nosaukums</w:t>
                  </w:r>
                </w:p>
              </w:tc>
              <w:tc>
                <w:tcPr>
                  <w:tcW w:w="1559" w:type="dxa"/>
                  <w:vMerge w:val="restart"/>
                  <w:shd w:val="clear" w:color="auto" w:fill="auto"/>
                  <w:vAlign w:val="center"/>
                  <w:hideMark/>
                </w:tcPr>
                <w:p w14:paraId="2D81F87F" w14:textId="77777777" w:rsidR="00BB7542" w:rsidRPr="008F5363" w:rsidRDefault="00BB7542" w:rsidP="00BB7542">
                  <w:pPr>
                    <w:spacing w:after="0" w:line="240" w:lineRule="auto"/>
                    <w:jc w:val="center"/>
                    <w:rPr>
                      <w:rFonts w:ascii="Times New Roman" w:hAnsi="Times New Roman" w:cs="Times New Roman"/>
                      <w:b/>
                      <w:sz w:val="24"/>
                      <w:szCs w:val="24"/>
                    </w:rPr>
                  </w:pPr>
                  <w:r w:rsidRPr="008F5363">
                    <w:rPr>
                      <w:rFonts w:ascii="Times New Roman" w:hAnsi="Times New Roman" w:cs="Times New Roman"/>
                      <w:b/>
                      <w:sz w:val="24"/>
                      <w:szCs w:val="24"/>
                    </w:rPr>
                    <w:t>Vienas vienības izcenojums ar PVN</w:t>
                  </w:r>
                </w:p>
                <w:p w14:paraId="6E26EA03" w14:textId="77777777" w:rsidR="00BB7542" w:rsidRPr="008F5363" w:rsidRDefault="00BB7542" w:rsidP="00BB7542">
                  <w:pPr>
                    <w:spacing w:after="0" w:line="240" w:lineRule="auto"/>
                    <w:jc w:val="center"/>
                    <w:rPr>
                      <w:rFonts w:ascii="Times New Roman" w:hAnsi="Times New Roman" w:cs="Times New Roman"/>
                      <w:b/>
                      <w:sz w:val="24"/>
                      <w:szCs w:val="24"/>
                    </w:rPr>
                  </w:pPr>
                  <w:r w:rsidRPr="008F5363">
                    <w:rPr>
                      <w:rFonts w:ascii="Times New Roman" w:hAnsi="Times New Roman" w:cs="Times New Roman"/>
                      <w:b/>
                      <w:sz w:val="24"/>
                      <w:szCs w:val="24"/>
                    </w:rPr>
                    <w:t xml:space="preserve">(EUR) </w:t>
                  </w:r>
                </w:p>
              </w:tc>
              <w:tc>
                <w:tcPr>
                  <w:tcW w:w="1739" w:type="dxa"/>
                  <w:vMerge w:val="restart"/>
                  <w:shd w:val="clear" w:color="auto" w:fill="auto"/>
                  <w:vAlign w:val="center"/>
                  <w:hideMark/>
                </w:tcPr>
                <w:p w14:paraId="65EC7909" w14:textId="77777777" w:rsidR="00BB7542" w:rsidRPr="008F5363" w:rsidRDefault="00BB7542" w:rsidP="00BB7542">
                  <w:pPr>
                    <w:spacing w:after="0" w:line="240" w:lineRule="auto"/>
                    <w:jc w:val="center"/>
                    <w:rPr>
                      <w:rFonts w:ascii="Times New Roman" w:hAnsi="Times New Roman" w:cs="Times New Roman"/>
                      <w:b/>
                      <w:sz w:val="24"/>
                      <w:szCs w:val="24"/>
                    </w:rPr>
                  </w:pPr>
                  <w:r w:rsidRPr="008F5363">
                    <w:rPr>
                      <w:rFonts w:ascii="Times New Roman" w:hAnsi="Times New Roman" w:cs="Times New Roman"/>
                      <w:b/>
                      <w:sz w:val="24"/>
                      <w:szCs w:val="24"/>
                    </w:rPr>
                    <w:t>Plānotais pakalpojumu skaits (2021.gads)</w:t>
                  </w:r>
                </w:p>
              </w:tc>
              <w:tc>
                <w:tcPr>
                  <w:tcW w:w="1470" w:type="dxa"/>
                  <w:vMerge w:val="restart"/>
                  <w:shd w:val="clear" w:color="auto" w:fill="auto"/>
                  <w:vAlign w:val="center"/>
                  <w:hideMark/>
                </w:tcPr>
                <w:p w14:paraId="3BEC4987" w14:textId="77777777" w:rsidR="00BB7542" w:rsidRPr="008F5363" w:rsidRDefault="00BB7542" w:rsidP="00BB7542">
                  <w:pPr>
                    <w:spacing w:after="0" w:line="240" w:lineRule="auto"/>
                    <w:jc w:val="center"/>
                    <w:rPr>
                      <w:rFonts w:ascii="Times New Roman" w:hAnsi="Times New Roman" w:cs="Times New Roman"/>
                      <w:b/>
                      <w:sz w:val="24"/>
                      <w:szCs w:val="24"/>
                    </w:rPr>
                  </w:pPr>
                  <w:r w:rsidRPr="008F5363">
                    <w:rPr>
                      <w:rFonts w:ascii="Times New Roman" w:hAnsi="Times New Roman" w:cs="Times New Roman"/>
                      <w:b/>
                      <w:sz w:val="24"/>
                      <w:szCs w:val="24"/>
                    </w:rPr>
                    <w:t>Maksas pakalpojumu ieņēmumi (EUR)</w:t>
                  </w:r>
                </w:p>
              </w:tc>
            </w:tr>
            <w:tr w:rsidR="00BB7542" w:rsidRPr="008F5363" w14:paraId="7E78C811" w14:textId="77777777" w:rsidTr="00E3690C">
              <w:trPr>
                <w:trHeight w:val="712"/>
                <w:jc w:val="center"/>
              </w:trPr>
              <w:tc>
                <w:tcPr>
                  <w:tcW w:w="2673" w:type="dxa"/>
                  <w:vMerge/>
                  <w:vAlign w:val="center"/>
                  <w:hideMark/>
                </w:tcPr>
                <w:p w14:paraId="536D3218" w14:textId="77777777" w:rsidR="00BB7542" w:rsidRPr="008F5363" w:rsidRDefault="00BB7542" w:rsidP="00BB7542">
                  <w:pPr>
                    <w:rPr>
                      <w:rFonts w:ascii="Times New Roman" w:hAnsi="Times New Roman" w:cs="Times New Roman"/>
                      <w:sz w:val="24"/>
                      <w:szCs w:val="24"/>
                    </w:rPr>
                  </w:pPr>
                </w:p>
              </w:tc>
              <w:tc>
                <w:tcPr>
                  <w:tcW w:w="1559" w:type="dxa"/>
                  <w:vMerge/>
                  <w:vAlign w:val="center"/>
                  <w:hideMark/>
                </w:tcPr>
                <w:p w14:paraId="1F279EA8" w14:textId="77777777" w:rsidR="00BB7542" w:rsidRPr="008F5363" w:rsidRDefault="00BB7542" w:rsidP="00BB7542">
                  <w:pPr>
                    <w:rPr>
                      <w:rFonts w:ascii="Times New Roman" w:hAnsi="Times New Roman" w:cs="Times New Roman"/>
                      <w:sz w:val="24"/>
                      <w:szCs w:val="24"/>
                    </w:rPr>
                  </w:pPr>
                </w:p>
              </w:tc>
              <w:tc>
                <w:tcPr>
                  <w:tcW w:w="1739" w:type="dxa"/>
                  <w:vMerge/>
                  <w:vAlign w:val="center"/>
                  <w:hideMark/>
                </w:tcPr>
                <w:p w14:paraId="4DFE6800" w14:textId="77777777" w:rsidR="00BB7542" w:rsidRPr="008F5363" w:rsidRDefault="00BB7542" w:rsidP="00BB7542">
                  <w:pPr>
                    <w:rPr>
                      <w:rFonts w:ascii="Times New Roman" w:hAnsi="Times New Roman" w:cs="Times New Roman"/>
                      <w:sz w:val="24"/>
                      <w:szCs w:val="24"/>
                    </w:rPr>
                  </w:pPr>
                </w:p>
              </w:tc>
              <w:tc>
                <w:tcPr>
                  <w:tcW w:w="1470" w:type="dxa"/>
                  <w:vMerge/>
                  <w:vAlign w:val="center"/>
                  <w:hideMark/>
                </w:tcPr>
                <w:p w14:paraId="33E8A117" w14:textId="77777777" w:rsidR="00BB7542" w:rsidRPr="008F5363" w:rsidRDefault="00BB7542" w:rsidP="00BB7542">
                  <w:pPr>
                    <w:rPr>
                      <w:rFonts w:ascii="Times New Roman" w:hAnsi="Times New Roman" w:cs="Times New Roman"/>
                      <w:sz w:val="24"/>
                      <w:szCs w:val="24"/>
                    </w:rPr>
                  </w:pPr>
                </w:p>
              </w:tc>
            </w:tr>
            <w:tr w:rsidR="00BB7542" w:rsidRPr="008F5363" w14:paraId="4C829EA9" w14:textId="77777777" w:rsidTr="00E3690C">
              <w:trPr>
                <w:trHeight w:val="759"/>
                <w:jc w:val="center"/>
              </w:trPr>
              <w:tc>
                <w:tcPr>
                  <w:tcW w:w="2673" w:type="dxa"/>
                  <w:vMerge/>
                  <w:vAlign w:val="center"/>
                  <w:hideMark/>
                </w:tcPr>
                <w:p w14:paraId="7AA036C6" w14:textId="77777777" w:rsidR="00BB7542" w:rsidRPr="008F5363" w:rsidRDefault="00BB7542" w:rsidP="00BB7542">
                  <w:pPr>
                    <w:rPr>
                      <w:rFonts w:ascii="Times New Roman" w:hAnsi="Times New Roman" w:cs="Times New Roman"/>
                      <w:sz w:val="24"/>
                      <w:szCs w:val="24"/>
                    </w:rPr>
                  </w:pPr>
                </w:p>
              </w:tc>
              <w:tc>
                <w:tcPr>
                  <w:tcW w:w="1559" w:type="dxa"/>
                  <w:vMerge/>
                  <w:vAlign w:val="center"/>
                  <w:hideMark/>
                </w:tcPr>
                <w:p w14:paraId="6F623AD8" w14:textId="77777777" w:rsidR="00BB7542" w:rsidRPr="008F5363" w:rsidRDefault="00BB7542" w:rsidP="00BB7542">
                  <w:pPr>
                    <w:rPr>
                      <w:rFonts w:ascii="Times New Roman" w:hAnsi="Times New Roman" w:cs="Times New Roman"/>
                      <w:sz w:val="24"/>
                      <w:szCs w:val="24"/>
                    </w:rPr>
                  </w:pPr>
                </w:p>
              </w:tc>
              <w:tc>
                <w:tcPr>
                  <w:tcW w:w="1739" w:type="dxa"/>
                  <w:vMerge/>
                  <w:vAlign w:val="center"/>
                  <w:hideMark/>
                </w:tcPr>
                <w:p w14:paraId="2678667C" w14:textId="77777777" w:rsidR="00BB7542" w:rsidRPr="008F5363" w:rsidRDefault="00BB7542" w:rsidP="00BB7542">
                  <w:pPr>
                    <w:rPr>
                      <w:rFonts w:ascii="Times New Roman" w:hAnsi="Times New Roman" w:cs="Times New Roman"/>
                      <w:sz w:val="24"/>
                      <w:szCs w:val="24"/>
                    </w:rPr>
                  </w:pPr>
                </w:p>
              </w:tc>
              <w:tc>
                <w:tcPr>
                  <w:tcW w:w="1470" w:type="dxa"/>
                  <w:vMerge/>
                  <w:vAlign w:val="center"/>
                  <w:hideMark/>
                </w:tcPr>
                <w:p w14:paraId="740059D1" w14:textId="77777777" w:rsidR="00BB7542" w:rsidRPr="008F5363" w:rsidRDefault="00BB7542" w:rsidP="00BB7542">
                  <w:pPr>
                    <w:rPr>
                      <w:rFonts w:ascii="Times New Roman" w:hAnsi="Times New Roman" w:cs="Times New Roman"/>
                      <w:sz w:val="24"/>
                      <w:szCs w:val="24"/>
                    </w:rPr>
                  </w:pPr>
                </w:p>
              </w:tc>
            </w:tr>
            <w:tr w:rsidR="00BB7542" w:rsidRPr="008F5363" w14:paraId="369910DE" w14:textId="77777777" w:rsidTr="00E3690C">
              <w:trPr>
                <w:trHeight w:val="685"/>
                <w:jc w:val="center"/>
              </w:trPr>
              <w:tc>
                <w:tcPr>
                  <w:tcW w:w="2673" w:type="dxa"/>
                  <w:shd w:val="clear" w:color="auto" w:fill="auto"/>
                </w:tcPr>
                <w:p w14:paraId="4A0D9D6C" w14:textId="77777777" w:rsidR="00BB7542" w:rsidRPr="008F5363" w:rsidRDefault="00BB7542" w:rsidP="00BB7542">
                  <w:pPr>
                    <w:spacing w:after="0" w:line="240" w:lineRule="auto"/>
                    <w:ind w:left="33"/>
                    <w:contextualSpacing/>
                    <w:rPr>
                      <w:rFonts w:ascii="Times New Roman" w:hAnsi="Times New Roman" w:cs="Times New Roman"/>
                      <w:color w:val="000000"/>
                      <w:sz w:val="24"/>
                      <w:szCs w:val="24"/>
                    </w:rPr>
                  </w:pPr>
                  <w:r w:rsidRPr="008F5363">
                    <w:rPr>
                      <w:rFonts w:ascii="Times New Roman" w:hAnsi="Times New Roman" w:cs="Times New Roman"/>
                      <w:sz w:val="24"/>
                      <w:szCs w:val="24"/>
                    </w:rPr>
                    <w:t>Ar CE marķējumu nemarķētu speciāli piegādātu medicīnisko ierīču iegādes iesnieguma un tam pievienotās dokumentācijas ekspertīze</w:t>
                  </w:r>
                  <w:r w:rsidRPr="008F5363">
                    <w:rPr>
                      <w:rFonts w:ascii="Times New Roman" w:hAnsi="Times New Roman" w:cs="Times New Roman"/>
                      <w:sz w:val="24"/>
                      <w:szCs w:val="24"/>
                      <w:vertAlign w:val="superscript"/>
                    </w:rPr>
                    <w:t>1</w:t>
                  </w:r>
                </w:p>
              </w:tc>
              <w:tc>
                <w:tcPr>
                  <w:tcW w:w="1559" w:type="dxa"/>
                  <w:shd w:val="clear" w:color="auto" w:fill="auto"/>
                  <w:vAlign w:val="center"/>
                </w:tcPr>
                <w:p w14:paraId="075D24E2" w14:textId="77777777" w:rsidR="00BB7542" w:rsidRPr="008F5363" w:rsidRDefault="00BB7542" w:rsidP="00BB7542">
                  <w:pPr>
                    <w:spacing w:after="0"/>
                    <w:jc w:val="center"/>
                    <w:rPr>
                      <w:rFonts w:ascii="Times New Roman" w:hAnsi="Times New Roman" w:cs="Times New Roman"/>
                      <w:sz w:val="24"/>
                      <w:szCs w:val="24"/>
                    </w:rPr>
                  </w:pPr>
                  <w:r w:rsidRPr="008F5363">
                    <w:rPr>
                      <w:rFonts w:ascii="Times New Roman" w:hAnsi="Times New Roman" w:cs="Times New Roman"/>
                      <w:sz w:val="24"/>
                      <w:szCs w:val="24"/>
                    </w:rPr>
                    <w:t>525,00</w:t>
                  </w:r>
                </w:p>
              </w:tc>
              <w:tc>
                <w:tcPr>
                  <w:tcW w:w="1739" w:type="dxa"/>
                  <w:shd w:val="clear" w:color="auto" w:fill="auto"/>
                  <w:vAlign w:val="center"/>
                </w:tcPr>
                <w:p w14:paraId="1B5CB41E" w14:textId="77777777" w:rsidR="00BB7542" w:rsidRPr="008F5363" w:rsidRDefault="00BB7542" w:rsidP="00BB7542">
                  <w:pPr>
                    <w:autoSpaceDE w:val="0"/>
                    <w:autoSpaceDN w:val="0"/>
                    <w:adjustRightInd w:val="0"/>
                    <w:spacing w:after="0"/>
                    <w:jc w:val="center"/>
                    <w:rPr>
                      <w:rFonts w:ascii="Times New Roman" w:hAnsi="Times New Roman" w:cs="Times New Roman"/>
                      <w:color w:val="000000"/>
                      <w:sz w:val="24"/>
                      <w:szCs w:val="24"/>
                    </w:rPr>
                  </w:pPr>
                  <w:r w:rsidRPr="008F5363">
                    <w:rPr>
                      <w:rFonts w:ascii="Times New Roman" w:hAnsi="Times New Roman" w:cs="Times New Roman"/>
                      <w:color w:val="000000"/>
                      <w:sz w:val="24"/>
                      <w:szCs w:val="24"/>
                    </w:rPr>
                    <w:t>-1</w:t>
                  </w:r>
                </w:p>
              </w:tc>
              <w:tc>
                <w:tcPr>
                  <w:tcW w:w="1470" w:type="dxa"/>
                  <w:shd w:val="clear" w:color="auto" w:fill="auto"/>
                  <w:vAlign w:val="center"/>
                </w:tcPr>
                <w:p w14:paraId="4E769759" w14:textId="77777777" w:rsidR="00BB7542" w:rsidRPr="008F5363" w:rsidRDefault="00BB7542" w:rsidP="00BB7542">
                  <w:pPr>
                    <w:autoSpaceDE w:val="0"/>
                    <w:autoSpaceDN w:val="0"/>
                    <w:adjustRightInd w:val="0"/>
                    <w:spacing w:after="0"/>
                    <w:jc w:val="center"/>
                    <w:rPr>
                      <w:rFonts w:ascii="Times New Roman" w:hAnsi="Times New Roman" w:cs="Times New Roman"/>
                      <w:color w:val="000000"/>
                      <w:sz w:val="24"/>
                      <w:szCs w:val="24"/>
                    </w:rPr>
                  </w:pPr>
                  <w:r w:rsidRPr="008F5363">
                    <w:rPr>
                      <w:rFonts w:ascii="Times New Roman" w:hAnsi="Times New Roman" w:cs="Times New Roman"/>
                      <w:color w:val="000000"/>
                      <w:sz w:val="24"/>
                      <w:szCs w:val="24"/>
                    </w:rPr>
                    <w:t>-525,00</w:t>
                  </w:r>
                </w:p>
              </w:tc>
            </w:tr>
            <w:tr w:rsidR="00BB7542" w:rsidRPr="008F5363" w14:paraId="0F8379A2" w14:textId="77777777" w:rsidTr="00E3690C">
              <w:trPr>
                <w:trHeight w:val="685"/>
                <w:jc w:val="center"/>
              </w:trPr>
              <w:tc>
                <w:tcPr>
                  <w:tcW w:w="2673" w:type="dxa"/>
                  <w:shd w:val="clear" w:color="auto" w:fill="auto"/>
                </w:tcPr>
                <w:p w14:paraId="2928DED4" w14:textId="77777777" w:rsidR="00BB7542" w:rsidRPr="008F5363" w:rsidRDefault="00BB7542" w:rsidP="00BB7542">
                  <w:pPr>
                    <w:spacing w:after="0" w:line="240" w:lineRule="auto"/>
                    <w:ind w:left="33"/>
                    <w:contextualSpacing/>
                    <w:rPr>
                      <w:rFonts w:ascii="Times New Roman" w:hAnsi="Times New Roman" w:cs="Times New Roman"/>
                      <w:sz w:val="24"/>
                      <w:szCs w:val="24"/>
                    </w:rPr>
                  </w:pPr>
                  <w:r w:rsidRPr="008F5363">
                    <w:rPr>
                      <w:rFonts w:ascii="Times New Roman" w:hAnsi="Times New Roman" w:cs="Times New Roman"/>
                      <w:sz w:val="24"/>
                      <w:szCs w:val="24"/>
                    </w:rPr>
                    <w:t xml:space="preserve">Iesnieguma un  dokumentācijas ekspertīze, lai laistu tirgū vai izmantotu atsevišķas medicīniskās ierīces vai </w:t>
                  </w:r>
                  <w:r w:rsidRPr="008F5363">
                    <w:rPr>
                      <w:rFonts w:ascii="Times New Roman" w:hAnsi="Times New Roman" w:cs="Times New Roman"/>
                      <w:i/>
                      <w:iCs/>
                      <w:sz w:val="24"/>
                      <w:szCs w:val="24"/>
                    </w:rPr>
                    <w:t xml:space="preserve">in vitro </w:t>
                  </w:r>
                  <w:r w:rsidRPr="008F5363">
                    <w:rPr>
                      <w:rFonts w:ascii="Times New Roman" w:hAnsi="Times New Roman" w:cs="Times New Roman"/>
                      <w:sz w:val="24"/>
                      <w:szCs w:val="24"/>
                    </w:rPr>
                    <w:t>diagnostikas medicīniskās ierīces, kurām nav veiktas normatīvajos aktos paredzētās atbilstības novērtēšanas procedūras un kuras nav marķētas ar CE marķējumu</w:t>
                  </w:r>
                  <w:r w:rsidRPr="008F5363">
                    <w:rPr>
                      <w:rFonts w:ascii="Times New Roman" w:hAnsi="Times New Roman" w:cs="Times New Roman"/>
                      <w:sz w:val="24"/>
                      <w:szCs w:val="24"/>
                      <w:vertAlign w:val="superscript"/>
                    </w:rPr>
                    <w:t>1</w:t>
                  </w:r>
                </w:p>
              </w:tc>
              <w:tc>
                <w:tcPr>
                  <w:tcW w:w="1559" w:type="dxa"/>
                  <w:shd w:val="clear" w:color="auto" w:fill="auto"/>
                  <w:vAlign w:val="center"/>
                </w:tcPr>
                <w:p w14:paraId="1FF93E1D" w14:textId="37E19E79" w:rsidR="00BB7542" w:rsidRPr="008F5363" w:rsidRDefault="00BB7542" w:rsidP="00BB7542">
                  <w:pPr>
                    <w:spacing w:after="0"/>
                    <w:jc w:val="center"/>
                    <w:rPr>
                      <w:rFonts w:ascii="Times New Roman" w:hAnsi="Times New Roman" w:cs="Times New Roman"/>
                      <w:sz w:val="24"/>
                      <w:szCs w:val="24"/>
                    </w:rPr>
                  </w:pPr>
                  <w:r w:rsidRPr="008F5363">
                    <w:rPr>
                      <w:rFonts w:ascii="Times New Roman" w:hAnsi="Times New Roman" w:cs="Times New Roman"/>
                      <w:sz w:val="24"/>
                      <w:szCs w:val="24"/>
                    </w:rPr>
                    <w:t>5</w:t>
                  </w:r>
                  <w:r w:rsidR="002E6DBB" w:rsidRPr="008F5363">
                    <w:rPr>
                      <w:rFonts w:ascii="Times New Roman" w:hAnsi="Times New Roman" w:cs="Times New Roman"/>
                      <w:sz w:val="24"/>
                      <w:szCs w:val="24"/>
                    </w:rPr>
                    <w:t>28</w:t>
                  </w:r>
                  <w:r w:rsidRPr="008F5363">
                    <w:rPr>
                      <w:rFonts w:ascii="Times New Roman" w:hAnsi="Times New Roman" w:cs="Times New Roman"/>
                      <w:sz w:val="24"/>
                      <w:szCs w:val="24"/>
                    </w:rPr>
                    <w:t>,</w:t>
                  </w:r>
                  <w:r w:rsidR="002E6DBB" w:rsidRPr="008F5363">
                    <w:rPr>
                      <w:rFonts w:ascii="Times New Roman" w:hAnsi="Times New Roman" w:cs="Times New Roman"/>
                      <w:sz w:val="24"/>
                      <w:szCs w:val="24"/>
                    </w:rPr>
                    <w:t>6</w:t>
                  </w:r>
                  <w:r w:rsidRPr="008F5363">
                    <w:rPr>
                      <w:rFonts w:ascii="Times New Roman" w:hAnsi="Times New Roman" w:cs="Times New Roman"/>
                      <w:sz w:val="24"/>
                      <w:szCs w:val="24"/>
                    </w:rPr>
                    <w:t>0</w:t>
                  </w:r>
                </w:p>
              </w:tc>
              <w:tc>
                <w:tcPr>
                  <w:tcW w:w="1739" w:type="dxa"/>
                  <w:shd w:val="clear" w:color="auto" w:fill="auto"/>
                  <w:vAlign w:val="center"/>
                </w:tcPr>
                <w:p w14:paraId="37D0A2DF" w14:textId="77777777" w:rsidR="00BB7542" w:rsidRPr="008F5363" w:rsidRDefault="00BB7542" w:rsidP="00BB7542">
                  <w:pPr>
                    <w:autoSpaceDE w:val="0"/>
                    <w:autoSpaceDN w:val="0"/>
                    <w:adjustRightInd w:val="0"/>
                    <w:spacing w:after="0"/>
                    <w:jc w:val="center"/>
                    <w:rPr>
                      <w:rFonts w:ascii="Times New Roman" w:hAnsi="Times New Roman" w:cs="Times New Roman"/>
                      <w:color w:val="000000"/>
                      <w:sz w:val="24"/>
                      <w:szCs w:val="24"/>
                    </w:rPr>
                  </w:pPr>
                  <w:r w:rsidRPr="008F5363">
                    <w:rPr>
                      <w:rFonts w:ascii="Times New Roman" w:hAnsi="Times New Roman" w:cs="Times New Roman"/>
                      <w:color w:val="000000"/>
                      <w:sz w:val="24"/>
                      <w:szCs w:val="24"/>
                    </w:rPr>
                    <w:t>2</w:t>
                  </w:r>
                </w:p>
              </w:tc>
              <w:tc>
                <w:tcPr>
                  <w:tcW w:w="1470" w:type="dxa"/>
                  <w:shd w:val="clear" w:color="auto" w:fill="auto"/>
                  <w:vAlign w:val="center"/>
                </w:tcPr>
                <w:p w14:paraId="5A0511A9" w14:textId="6E607A48" w:rsidR="00BB7542" w:rsidRPr="008F5363" w:rsidRDefault="00BB7542" w:rsidP="00BB7542">
                  <w:pPr>
                    <w:autoSpaceDE w:val="0"/>
                    <w:autoSpaceDN w:val="0"/>
                    <w:adjustRightInd w:val="0"/>
                    <w:spacing w:after="0"/>
                    <w:jc w:val="center"/>
                    <w:rPr>
                      <w:rFonts w:ascii="Times New Roman" w:hAnsi="Times New Roman" w:cs="Times New Roman"/>
                      <w:color w:val="000000"/>
                      <w:sz w:val="24"/>
                      <w:szCs w:val="24"/>
                    </w:rPr>
                  </w:pPr>
                  <w:r w:rsidRPr="008F5363">
                    <w:rPr>
                      <w:rFonts w:ascii="Times New Roman" w:hAnsi="Times New Roman" w:cs="Times New Roman"/>
                      <w:color w:val="000000"/>
                      <w:sz w:val="24"/>
                      <w:szCs w:val="24"/>
                    </w:rPr>
                    <w:t>1 0</w:t>
                  </w:r>
                  <w:r w:rsidR="002E6DBB" w:rsidRPr="008F5363">
                    <w:rPr>
                      <w:rFonts w:ascii="Times New Roman" w:hAnsi="Times New Roman" w:cs="Times New Roman"/>
                      <w:color w:val="000000"/>
                      <w:sz w:val="24"/>
                      <w:szCs w:val="24"/>
                    </w:rPr>
                    <w:t>57</w:t>
                  </w:r>
                  <w:r w:rsidRPr="008F5363">
                    <w:rPr>
                      <w:rFonts w:ascii="Times New Roman" w:hAnsi="Times New Roman" w:cs="Times New Roman"/>
                      <w:color w:val="000000"/>
                      <w:sz w:val="24"/>
                      <w:szCs w:val="24"/>
                    </w:rPr>
                    <w:t>,</w:t>
                  </w:r>
                  <w:r w:rsidR="002E6DBB" w:rsidRPr="008F5363">
                    <w:rPr>
                      <w:rFonts w:ascii="Times New Roman" w:hAnsi="Times New Roman" w:cs="Times New Roman"/>
                      <w:color w:val="000000"/>
                      <w:sz w:val="24"/>
                      <w:szCs w:val="24"/>
                    </w:rPr>
                    <w:t>2</w:t>
                  </w:r>
                  <w:r w:rsidRPr="008F5363">
                    <w:rPr>
                      <w:rFonts w:ascii="Times New Roman" w:hAnsi="Times New Roman" w:cs="Times New Roman"/>
                      <w:color w:val="000000"/>
                      <w:sz w:val="24"/>
                      <w:szCs w:val="24"/>
                    </w:rPr>
                    <w:t>0</w:t>
                  </w:r>
                </w:p>
              </w:tc>
            </w:tr>
          </w:tbl>
          <w:p w14:paraId="41DDEB48" w14:textId="380CE601" w:rsidR="00BB7542" w:rsidRPr="008F5363" w:rsidRDefault="00BB7542" w:rsidP="00BB7542">
            <w:pPr>
              <w:spacing w:after="0" w:line="240" w:lineRule="auto"/>
              <w:jc w:val="both"/>
              <w:rPr>
                <w:rFonts w:ascii="Times New Roman" w:eastAsia="Times New Roman" w:hAnsi="Times New Roman" w:cs="Times New Roman"/>
                <w:color w:val="000000"/>
                <w:sz w:val="24"/>
                <w:szCs w:val="24"/>
                <w:shd w:val="clear" w:color="auto" w:fill="FFFFFF"/>
                <w:lang w:eastAsia="lv-LV"/>
              </w:rPr>
            </w:pPr>
            <w:r w:rsidRPr="008F5363">
              <w:rPr>
                <w:rFonts w:ascii="Times New Roman" w:hAnsi="Times New Roman" w:cs="Times New Roman"/>
                <w:sz w:val="24"/>
                <w:szCs w:val="24"/>
                <w:u w:val="single"/>
              </w:rPr>
              <w:t xml:space="preserve">2022.gadā un turpmāk </w:t>
            </w:r>
            <w:r w:rsidR="00CF39FF">
              <w:rPr>
                <w:rFonts w:ascii="Times New Roman" w:hAnsi="Times New Roman" w:cs="Times New Roman"/>
                <w:sz w:val="24"/>
                <w:szCs w:val="24"/>
              </w:rPr>
              <w:t>A</w:t>
            </w:r>
            <w:r w:rsidRPr="008F5363">
              <w:rPr>
                <w:rFonts w:ascii="Times New Roman" w:eastAsia="Times New Roman" w:hAnsi="Times New Roman" w:cs="Times New Roman"/>
                <w:sz w:val="24"/>
                <w:szCs w:val="24"/>
                <w:shd w:val="clear" w:color="auto" w:fill="FFFFFF"/>
                <w:lang w:eastAsia="lv-LV"/>
              </w:rPr>
              <w:t xml:space="preserve">ģentūrai plānots pašu ieņēmumu no maksas pakalpojumiem palielinājums par </w:t>
            </w:r>
            <w:r w:rsidRPr="008F5363">
              <w:rPr>
                <w:rFonts w:ascii="Times New Roman" w:eastAsia="Times New Roman" w:hAnsi="Times New Roman" w:cs="Times New Roman"/>
                <w:b/>
                <w:color w:val="000000"/>
                <w:sz w:val="24"/>
                <w:szCs w:val="24"/>
                <w:shd w:val="clear" w:color="auto" w:fill="FFFFFF"/>
                <w:lang w:eastAsia="lv-LV"/>
              </w:rPr>
              <w:t xml:space="preserve">91 </w:t>
            </w:r>
            <w:r w:rsidR="003B2063" w:rsidRPr="008F5363">
              <w:rPr>
                <w:rFonts w:ascii="Times New Roman" w:eastAsia="Times New Roman" w:hAnsi="Times New Roman" w:cs="Times New Roman"/>
                <w:b/>
                <w:color w:val="000000"/>
                <w:sz w:val="24"/>
                <w:szCs w:val="24"/>
                <w:shd w:val="clear" w:color="auto" w:fill="FFFFFF"/>
                <w:lang w:eastAsia="lv-LV"/>
              </w:rPr>
              <w:t>112</w:t>
            </w:r>
            <w:r w:rsidRPr="008F5363">
              <w:rPr>
                <w:rFonts w:ascii="Times New Roman" w:eastAsia="Times New Roman" w:hAnsi="Times New Roman" w:cs="Times New Roman"/>
                <w:color w:val="000000"/>
                <w:sz w:val="24"/>
                <w:szCs w:val="24"/>
                <w:shd w:val="clear" w:color="auto" w:fill="FFFFFF"/>
                <w:lang w:eastAsia="lv-LV"/>
              </w:rPr>
              <w:t xml:space="preserve"> </w:t>
            </w:r>
            <w:r w:rsidRPr="008F5363">
              <w:rPr>
                <w:rFonts w:ascii="Times New Roman" w:hAnsi="Times New Roman" w:cs="Times New Roman"/>
                <w:b/>
                <w:sz w:val="24"/>
                <w:szCs w:val="24"/>
              </w:rPr>
              <w:t>euro</w:t>
            </w:r>
            <w:r w:rsidRPr="008F5363">
              <w:rPr>
                <w:rFonts w:ascii="Times New Roman" w:eastAsia="Times New Roman" w:hAnsi="Times New Roman" w:cs="Times New Roman"/>
                <w:sz w:val="24"/>
                <w:szCs w:val="24"/>
                <w:shd w:val="clear" w:color="auto" w:fill="FFFFFF"/>
                <w:lang w:eastAsia="lv-LV"/>
              </w:rPr>
              <w:t xml:space="preserve"> </w:t>
            </w:r>
            <w:r w:rsidRPr="008F5363">
              <w:rPr>
                <w:rFonts w:ascii="Times New Roman" w:eastAsia="Times New Roman" w:hAnsi="Times New Roman" w:cs="Times New Roman"/>
                <w:color w:val="000000"/>
                <w:sz w:val="24"/>
                <w:szCs w:val="24"/>
                <w:shd w:val="clear" w:color="auto" w:fill="FFFFFF"/>
                <w:lang w:eastAsia="lv-LV"/>
              </w:rPr>
              <w:t>šādā sadalījumā pa izdevumu kodiem atbilstoši ekonomiskajām kategorijām:</w:t>
            </w:r>
          </w:p>
          <w:p w14:paraId="7998022B" w14:textId="380638BE" w:rsidR="00BB7542" w:rsidRPr="008F5363" w:rsidRDefault="00BB7542" w:rsidP="00BB7542">
            <w:pPr>
              <w:spacing w:after="0" w:line="240" w:lineRule="auto"/>
              <w:jc w:val="both"/>
              <w:rPr>
                <w:rFonts w:ascii="Times New Roman" w:eastAsia="Times New Roman" w:hAnsi="Times New Roman" w:cs="Times New Roman"/>
                <w:color w:val="000000"/>
                <w:sz w:val="24"/>
                <w:szCs w:val="24"/>
                <w:lang w:eastAsia="lv-LV"/>
              </w:rPr>
            </w:pPr>
            <w:r w:rsidRPr="008F5363">
              <w:rPr>
                <w:rFonts w:ascii="Times New Roman" w:eastAsia="Times New Roman" w:hAnsi="Times New Roman" w:cs="Times New Roman"/>
                <w:color w:val="000000"/>
                <w:sz w:val="24"/>
                <w:szCs w:val="24"/>
                <w:lang w:eastAsia="lv-LV"/>
              </w:rPr>
              <w:t xml:space="preserve">EKK 1000 (Atlīdzība) 62 </w:t>
            </w:r>
            <w:r w:rsidR="001952B1" w:rsidRPr="008F5363">
              <w:rPr>
                <w:rFonts w:ascii="Times New Roman" w:eastAsia="Times New Roman" w:hAnsi="Times New Roman" w:cs="Times New Roman"/>
                <w:color w:val="000000"/>
                <w:sz w:val="24"/>
                <w:szCs w:val="24"/>
                <w:lang w:eastAsia="lv-LV"/>
              </w:rPr>
              <w:t>200</w:t>
            </w:r>
            <w:r w:rsidRPr="008F5363">
              <w:rPr>
                <w:rFonts w:ascii="Times New Roman" w:eastAsia="Times New Roman" w:hAnsi="Times New Roman" w:cs="Times New Roman"/>
                <w:color w:val="000000"/>
                <w:sz w:val="24"/>
                <w:szCs w:val="24"/>
                <w:lang w:eastAsia="lv-LV"/>
              </w:rPr>
              <w:t xml:space="preserve"> euro</w:t>
            </w:r>
          </w:p>
          <w:p w14:paraId="579823BB" w14:textId="5ECE340F" w:rsidR="00BB7542" w:rsidRPr="008F5363" w:rsidRDefault="00BB7542" w:rsidP="00BB7542">
            <w:pPr>
              <w:spacing w:after="0" w:line="240" w:lineRule="auto"/>
              <w:jc w:val="both"/>
              <w:rPr>
                <w:rFonts w:ascii="Times New Roman" w:eastAsia="Times New Roman" w:hAnsi="Times New Roman" w:cs="Times New Roman"/>
                <w:color w:val="000000"/>
                <w:sz w:val="24"/>
                <w:szCs w:val="24"/>
                <w:lang w:eastAsia="lv-LV"/>
              </w:rPr>
            </w:pPr>
            <w:r w:rsidRPr="008F5363">
              <w:rPr>
                <w:rFonts w:ascii="Times New Roman" w:eastAsia="Times New Roman" w:hAnsi="Times New Roman" w:cs="Times New Roman"/>
                <w:color w:val="000000"/>
                <w:sz w:val="24"/>
                <w:szCs w:val="24"/>
                <w:lang w:eastAsia="lv-LV"/>
              </w:rPr>
              <w:t>EKK 2000 (Preces un pakalpojumi) 20 7</w:t>
            </w:r>
            <w:r w:rsidR="001952B1" w:rsidRPr="008F5363">
              <w:rPr>
                <w:rFonts w:ascii="Times New Roman" w:eastAsia="Times New Roman" w:hAnsi="Times New Roman" w:cs="Times New Roman"/>
                <w:color w:val="000000"/>
                <w:sz w:val="24"/>
                <w:szCs w:val="24"/>
                <w:lang w:eastAsia="lv-LV"/>
              </w:rPr>
              <w:t>02</w:t>
            </w:r>
            <w:r w:rsidRPr="008F5363">
              <w:rPr>
                <w:rFonts w:ascii="Times New Roman" w:eastAsia="Times New Roman" w:hAnsi="Times New Roman" w:cs="Times New Roman"/>
                <w:color w:val="000000"/>
                <w:sz w:val="24"/>
                <w:szCs w:val="24"/>
                <w:lang w:eastAsia="lv-LV"/>
              </w:rPr>
              <w:t xml:space="preserve"> euro</w:t>
            </w:r>
          </w:p>
          <w:p w14:paraId="029F9D5F" w14:textId="77777777" w:rsidR="00BB7542" w:rsidRPr="008F5363" w:rsidRDefault="00BB7542" w:rsidP="00BB7542">
            <w:pPr>
              <w:spacing w:after="0" w:line="240" w:lineRule="auto"/>
              <w:jc w:val="both"/>
              <w:rPr>
                <w:rFonts w:ascii="Times New Roman" w:eastAsia="Times New Roman" w:hAnsi="Times New Roman" w:cs="Times New Roman"/>
                <w:color w:val="000000"/>
                <w:sz w:val="24"/>
                <w:szCs w:val="24"/>
                <w:lang w:eastAsia="lv-LV"/>
              </w:rPr>
            </w:pPr>
            <w:r w:rsidRPr="008F5363">
              <w:rPr>
                <w:rFonts w:ascii="Times New Roman" w:eastAsia="Times New Roman" w:hAnsi="Times New Roman" w:cs="Times New Roman"/>
                <w:color w:val="000000"/>
                <w:sz w:val="24"/>
                <w:szCs w:val="24"/>
                <w:lang w:eastAsia="lv-LV"/>
              </w:rPr>
              <w:t>EKK 5000 (Kapitālie izdevumi) 8 210 euro</w:t>
            </w:r>
          </w:p>
          <w:p w14:paraId="7CB9BB36" w14:textId="3716277E" w:rsidR="00BB7542" w:rsidRPr="008F5363" w:rsidRDefault="00BB7542" w:rsidP="00BB7542">
            <w:pPr>
              <w:spacing w:after="0" w:line="240" w:lineRule="auto"/>
              <w:jc w:val="both"/>
              <w:rPr>
                <w:rFonts w:ascii="Times New Roman" w:hAnsi="Times New Roman" w:cs="Times New Roman"/>
                <w:sz w:val="24"/>
                <w:szCs w:val="24"/>
              </w:rPr>
            </w:pPr>
            <w:r w:rsidRPr="008F5363">
              <w:rPr>
                <w:rFonts w:ascii="Times New Roman" w:hAnsi="Times New Roman" w:cs="Times New Roman"/>
                <w:sz w:val="24"/>
                <w:szCs w:val="24"/>
              </w:rPr>
              <w:t xml:space="preserve">Plānotie maksas pakalpojumu ieņēmumi 2022.gadā un turpmāk </w:t>
            </w:r>
            <w:r w:rsidRPr="008F5363">
              <w:rPr>
                <w:rFonts w:ascii="Times New Roman" w:hAnsi="Times New Roman" w:cs="Times New Roman"/>
                <w:b/>
                <w:sz w:val="24"/>
                <w:szCs w:val="24"/>
              </w:rPr>
              <w:t xml:space="preserve">91 </w:t>
            </w:r>
            <w:r w:rsidR="003B2063" w:rsidRPr="008F5363">
              <w:rPr>
                <w:rFonts w:ascii="Times New Roman" w:hAnsi="Times New Roman" w:cs="Times New Roman"/>
                <w:b/>
                <w:sz w:val="24"/>
                <w:szCs w:val="24"/>
              </w:rPr>
              <w:t>112</w:t>
            </w:r>
            <w:r w:rsidRPr="008F5363">
              <w:rPr>
                <w:rFonts w:ascii="Times New Roman" w:eastAsia="Times New Roman" w:hAnsi="Times New Roman" w:cs="Times New Roman"/>
                <w:color w:val="000000"/>
                <w:sz w:val="24"/>
                <w:szCs w:val="24"/>
                <w:shd w:val="clear" w:color="auto" w:fill="FFFFFF"/>
                <w:lang w:eastAsia="lv-LV"/>
              </w:rPr>
              <w:t> </w:t>
            </w:r>
            <w:r w:rsidRPr="008F5363">
              <w:rPr>
                <w:rFonts w:ascii="Times New Roman" w:hAnsi="Times New Roman" w:cs="Times New Roman"/>
                <w:b/>
                <w:sz w:val="24"/>
                <w:szCs w:val="24"/>
              </w:rPr>
              <w:t xml:space="preserve">euro </w:t>
            </w:r>
            <w:r w:rsidRPr="008F5363">
              <w:rPr>
                <w:rFonts w:ascii="Times New Roman" w:hAnsi="Times New Roman" w:cs="Times New Roman"/>
                <w:sz w:val="24"/>
                <w:szCs w:val="24"/>
              </w:rPr>
              <w:t xml:space="preserve">šādā sadalījumā: </w:t>
            </w:r>
          </w:p>
          <w:tbl>
            <w:tblPr>
              <w:tblW w:w="7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1559"/>
              <w:gridCol w:w="1739"/>
              <w:gridCol w:w="1470"/>
            </w:tblGrid>
            <w:tr w:rsidR="00BB7542" w:rsidRPr="008F5363" w14:paraId="1B2CE549" w14:textId="77777777" w:rsidTr="00E3690C">
              <w:trPr>
                <w:trHeight w:val="712"/>
                <w:jc w:val="center"/>
              </w:trPr>
              <w:tc>
                <w:tcPr>
                  <w:tcW w:w="2673" w:type="dxa"/>
                  <w:vMerge w:val="restart"/>
                  <w:shd w:val="clear" w:color="auto" w:fill="auto"/>
                  <w:vAlign w:val="center"/>
                  <w:hideMark/>
                </w:tcPr>
                <w:p w14:paraId="7C4FFE93" w14:textId="77777777" w:rsidR="00BB7542" w:rsidRPr="008F5363" w:rsidRDefault="00BB7542" w:rsidP="00BB7542">
                  <w:pPr>
                    <w:spacing w:after="0" w:line="240" w:lineRule="auto"/>
                    <w:jc w:val="center"/>
                    <w:rPr>
                      <w:rFonts w:ascii="Times New Roman" w:hAnsi="Times New Roman" w:cs="Times New Roman"/>
                      <w:b/>
                      <w:sz w:val="24"/>
                      <w:szCs w:val="24"/>
                    </w:rPr>
                  </w:pPr>
                  <w:r w:rsidRPr="008F5363">
                    <w:rPr>
                      <w:rFonts w:ascii="Times New Roman" w:hAnsi="Times New Roman" w:cs="Times New Roman"/>
                      <w:b/>
                      <w:sz w:val="24"/>
                      <w:szCs w:val="24"/>
                    </w:rPr>
                    <w:t>Pakalpojuma nosaukums</w:t>
                  </w:r>
                </w:p>
              </w:tc>
              <w:tc>
                <w:tcPr>
                  <w:tcW w:w="1559" w:type="dxa"/>
                  <w:vMerge w:val="restart"/>
                  <w:shd w:val="clear" w:color="auto" w:fill="auto"/>
                  <w:vAlign w:val="center"/>
                  <w:hideMark/>
                </w:tcPr>
                <w:p w14:paraId="23E64644" w14:textId="77777777" w:rsidR="00BB7542" w:rsidRPr="008F5363" w:rsidRDefault="00BB7542" w:rsidP="00BB7542">
                  <w:pPr>
                    <w:spacing w:after="0" w:line="240" w:lineRule="auto"/>
                    <w:jc w:val="center"/>
                    <w:rPr>
                      <w:rFonts w:ascii="Times New Roman" w:hAnsi="Times New Roman" w:cs="Times New Roman"/>
                      <w:b/>
                      <w:sz w:val="24"/>
                      <w:szCs w:val="24"/>
                    </w:rPr>
                  </w:pPr>
                  <w:r w:rsidRPr="008F5363">
                    <w:rPr>
                      <w:rFonts w:ascii="Times New Roman" w:hAnsi="Times New Roman" w:cs="Times New Roman"/>
                      <w:b/>
                      <w:sz w:val="24"/>
                      <w:szCs w:val="24"/>
                    </w:rPr>
                    <w:t>Vienas vienības izcenojums ar PVN</w:t>
                  </w:r>
                </w:p>
                <w:p w14:paraId="542251BA" w14:textId="77777777" w:rsidR="00BB7542" w:rsidRPr="008F5363" w:rsidRDefault="00BB7542" w:rsidP="00BB7542">
                  <w:pPr>
                    <w:spacing w:after="0" w:line="240" w:lineRule="auto"/>
                    <w:jc w:val="center"/>
                    <w:rPr>
                      <w:rFonts w:ascii="Times New Roman" w:hAnsi="Times New Roman" w:cs="Times New Roman"/>
                      <w:b/>
                      <w:sz w:val="24"/>
                      <w:szCs w:val="24"/>
                    </w:rPr>
                  </w:pPr>
                  <w:r w:rsidRPr="008F5363">
                    <w:rPr>
                      <w:rFonts w:ascii="Times New Roman" w:hAnsi="Times New Roman" w:cs="Times New Roman"/>
                      <w:b/>
                      <w:sz w:val="24"/>
                      <w:szCs w:val="24"/>
                    </w:rPr>
                    <w:t xml:space="preserve">(EUR) </w:t>
                  </w:r>
                </w:p>
              </w:tc>
              <w:tc>
                <w:tcPr>
                  <w:tcW w:w="1739" w:type="dxa"/>
                  <w:vMerge w:val="restart"/>
                  <w:shd w:val="clear" w:color="auto" w:fill="auto"/>
                  <w:vAlign w:val="center"/>
                  <w:hideMark/>
                </w:tcPr>
                <w:p w14:paraId="43A64129" w14:textId="77777777" w:rsidR="00BB7542" w:rsidRPr="008F5363" w:rsidRDefault="00BB7542" w:rsidP="00BB7542">
                  <w:pPr>
                    <w:spacing w:after="0" w:line="240" w:lineRule="auto"/>
                    <w:jc w:val="center"/>
                    <w:rPr>
                      <w:rFonts w:ascii="Times New Roman" w:hAnsi="Times New Roman" w:cs="Times New Roman"/>
                      <w:b/>
                      <w:sz w:val="24"/>
                      <w:szCs w:val="24"/>
                    </w:rPr>
                  </w:pPr>
                  <w:r w:rsidRPr="008F5363">
                    <w:rPr>
                      <w:rFonts w:ascii="Times New Roman" w:hAnsi="Times New Roman" w:cs="Times New Roman"/>
                      <w:b/>
                      <w:sz w:val="24"/>
                      <w:szCs w:val="24"/>
                    </w:rPr>
                    <w:t>Plānotais pakalpojumu skaits (2022.gads)</w:t>
                  </w:r>
                </w:p>
              </w:tc>
              <w:tc>
                <w:tcPr>
                  <w:tcW w:w="1470" w:type="dxa"/>
                  <w:vMerge w:val="restart"/>
                  <w:shd w:val="clear" w:color="auto" w:fill="auto"/>
                  <w:vAlign w:val="center"/>
                  <w:hideMark/>
                </w:tcPr>
                <w:p w14:paraId="5C1E8DA5" w14:textId="77777777" w:rsidR="00BB7542" w:rsidRPr="008F5363" w:rsidRDefault="00BB7542" w:rsidP="00BB7542">
                  <w:pPr>
                    <w:spacing w:after="0" w:line="240" w:lineRule="auto"/>
                    <w:jc w:val="center"/>
                    <w:rPr>
                      <w:rFonts w:ascii="Times New Roman" w:hAnsi="Times New Roman" w:cs="Times New Roman"/>
                      <w:b/>
                      <w:sz w:val="24"/>
                      <w:szCs w:val="24"/>
                    </w:rPr>
                  </w:pPr>
                  <w:r w:rsidRPr="008F5363">
                    <w:rPr>
                      <w:rFonts w:ascii="Times New Roman" w:hAnsi="Times New Roman" w:cs="Times New Roman"/>
                      <w:b/>
                      <w:sz w:val="24"/>
                      <w:szCs w:val="24"/>
                    </w:rPr>
                    <w:t>Maksas pakalpojumu ieņēmumi (EUR)</w:t>
                  </w:r>
                </w:p>
              </w:tc>
            </w:tr>
            <w:tr w:rsidR="00BB7542" w:rsidRPr="008F5363" w14:paraId="5EC7E091" w14:textId="77777777" w:rsidTr="00E3690C">
              <w:trPr>
                <w:trHeight w:val="712"/>
                <w:jc w:val="center"/>
              </w:trPr>
              <w:tc>
                <w:tcPr>
                  <w:tcW w:w="2673" w:type="dxa"/>
                  <w:vMerge/>
                  <w:vAlign w:val="center"/>
                  <w:hideMark/>
                </w:tcPr>
                <w:p w14:paraId="2464DC0A" w14:textId="77777777" w:rsidR="00BB7542" w:rsidRPr="008F5363" w:rsidRDefault="00BB7542" w:rsidP="00BB7542">
                  <w:pPr>
                    <w:rPr>
                      <w:rFonts w:ascii="Times New Roman" w:hAnsi="Times New Roman" w:cs="Times New Roman"/>
                      <w:sz w:val="24"/>
                      <w:szCs w:val="24"/>
                    </w:rPr>
                  </w:pPr>
                </w:p>
              </w:tc>
              <w:tc>
                <w:tcPr>
                  <w:tcW w:w="1559" w:type="dxa"/>
                  <w:vMerge/>
                  <w:vAlign w:val="center"/>
                  <w:hideMark/>
                </w:tcPr>
                <w:p w14:paraId="4C5A4027" w14:textId="77777777" w:rsidR="00BB7542" w:rsidRPr="008F5363" w:rsidRDefault="00BB7542" w:rsidP="00BB7542">
                  <w:pPr>
                    <w:rPr>
                      <w:rFonts w:ascii="Times New Roman" w:hAnsi="Times New Roman" w:cs="Times New Roman"/>
                      <w:sz w:val="24"/>
                      <w:szCs w:val="24"/>
                    </w:rPr>
                  </w:pPr>
                </w:p>
              </w:tc>
              <w:tc>
                <w:tcPr>
                  <w:tcW w:w="1739" w:type="dxa"/>
                  <w:vMerge/>
                  <w:vAlign w:val="center"/>
                  <w:hideMark/>
                </w:tcPr>
                <w:p w14:paraId="3D5BEDD0" w14:textId="77777777" w:rsidR="00BB7542" w:rsidRPr="008F5363" w:rsidRDefault="00BB7542" w:rsidP="00BB7542">
                  <w:pPr>
                    <w:rPr>
                      <w:rFonts w:ascii="Times New Roman" w:hAnsi="Times New Roman" w:cs="Times New Roman"/>
                      <w:sz w:val="24"/>
                      <w:szCs w:val="24"/>
                    </w:rPr>
                  </w:pPr>
                </w:p>
              </w:tc>
              <w:tc>
                <w:tcPr>
                  <w:tcW w:w="1470" w:type="dxa"/>
                  <w:vMerge/>
                  <w:vAlign w:val="center"/>
                  <w:hideMark/>
                </w:tcPr>
                <w:p w14:paraId="0ABF0FA5" w14:textId="77777777" w:rsidR="00BB7542" w:rsidRPr="008F5363" w:rsidRDefault="00BB7542" w:rsidP="00BB7542">
                  <w:pPr>
                    <w:rPr>
                      <w:rFonts w:ascii="Times New Roman" w:hAnsi="Times New Roman" w:cs="Times New Roman"/>
                      <w:sz w:val="24"/>
                      <w:szCs w:val="24"/>
                    </w:rPr>
                  </w:pPr>
                </w:p>
              </w:tc>
            </w:tr>
            <w:tr w:rsidR="00BB7542" w:rsidRPr="008F5363" w14:paraId="29BBD1E1" w14:textId="77777777" w:rsidTr="00E3690C">
              <w:trPr>
                <w:trHeight w:val="759"/>
                <w:jc w:val="center"/>
              </w:trPr>
              <w:tc>
                <w:tcPr>
                  <w:tcW w:w="2673" w:type="dxa"/>
                  <w:vMerge/>
                  <w:vAlign w:val="center"/>
                  <w:hideMark/>
                </w:tcPr>
                <w:p w14:paraId="34FEFA49" w14:textId="77777777" w:rsidR="00BB7542" w:rsidRPr="008F5363" w:rsidRDefault="00BB7542" w:rsidP="00BB7542">
                  <w:pPr>
                    <w:rPr>
                      <w:rFonts w:ascii="Times New Roman" w:hAnsi="Times New Roman" w:cs="Times New Roman"/>
                      <w:sz w:val="24"/>
                      <w:szCs w:val="24"/>
                    </w:rPr>
                  </w:pPr>
                </w:p>
              </w:tc>
              <w:tc>
                <w:tcPr>
                  <w:tcW w:w="1559" w:type="dxa"/>
                  <w:vMerge/>
                  <w:vAlign w:val="center"/>
                  <w:hideMark/>
                </w:tcPr>
                <w:p w14:paraId="34D493AB" w14:textId="77777777" w:rsidR="00BB7542" w:rsidRPr="008F5363" w:rsidRDefault="00BB7542" w:rsidP="00BB7542">
                  <w:pPr>
                    <w:rPr>
                      <w:rFonts w:ascii="Times New Roman" w:hAnsi="Times New Roman" w:cs="Times New Roman"/>
                      <w:sz w:val="24"/>
                      <w:szCs w:val="24"/>
                    </w:rPr>
                  </w:pPr>
                </w:p>
              </w:tc>
              <w:tc>
                <w:tcPr>
                  <w:tcW w:w="1739" w:type="dxa"/>
                  <w:vMerge/>
                  <w:vAlign w:val="center"/>
                  <w:hideMark/>
                </w:tcPr>
                <w:p w14:paraId="5A31D618" w14:textId="77777777" w:rsidR="00BB7542" w:rsidRPr="008F5363" w:rsidRDefault="00BB7542" w:rsidP="00BB7542">
                  <w:pPr>
                    <w:rPr>
                      <w:rFonts w:ascii="Times New Roman" w:hAnsi="Times New Roman" w:cs="Times New Roman"/>
                      <w:sz w:val="24"/>
                      <w:szCs w:val="24"/>
                    </w:rPr>
                  </w:pPr>
                </w:p>
              </w:tc>
              <w:tc>
                <w:tcPr>
                  <w:tcW w:w="1470" w:type="dxa"/>
                  <w:vMerge/>
                  <w:vAlign w:val="center"/>
                  <w:hideMark/>
                </w:tcPr>
                <w:p w14:paraId="44EF41CB" w14:textId="77777777" w:rsidR="00BB7542" w:rsidRPr="008F5363" w:rsidRDefault="00BB7542" w:rsidP="00BB7542">
                  <w:pPr>
                    <w:rPr>
                      <w:rFonts w:ascii="Times New Roman" w:hAnsi="Times New Roman" w:cs="Times New Roman"/>
                      <w:sz w:val="24"/>
                      <w:szCs w:val="24"/>
                    </w:rPr>
                  </w:pPr>
                </w:p>
              </w:tc>
            </w:tr>
            <w:tr w:rsidR="00BB7542" w:rsidRPr="008F5363" w14:paraId="019299BD" w14:textId="77777777" w:rsidTr="00E3690C">
              <w:trPr>
                <w:trHeight w:val="685"/>
                <w:jc w:val="center"/>
              </w:trPr>
              <w:tc>
                <w:tcPr>
                  <w:tcW w:w="2673" w:type="dxa"/>
                  <w:shd w:val="clear" w:color="auto" w:fill="auto"/>
                </w:tcPr>
                <w:p w14:paraId="256F6301" w14:textId="77777777" w:rsidR="00BB7542" w:rsidRPr="008F5363" w:rsidRDefault="00BB7542" w:rsidP="00BB7542">
                  <w:pPr>
                    <w:spacing w:after="0" w:line="240" w:lineRule="auto"/>
                    <w:ind w:left="33"/>
                    <w:contextualSpacing/>
                    <w:rPr>
                      <w:rFonts w:ascii="Times New Roman" w:hAnsi="Times New Roman" w:cs="Times New Roman"/>
                      <w:color w:val="000000"/>
                      <w:sz w:val="24"/>
                      <w:szCs w:val="24"/>
                    </w:rPr>
                  </w:pPr>
                  <w:r w:rsidRPr="008F5363">
                    <w:rPr>
                      <w:rFonts w:ascii="Times New Roman" w:hAnsi="Times New Roman" w:cs="Times New Roman"/>
                      <w:sz w:val="24"/>
                      <w:szCs w:val="24"/>
                    </w:rPr>
                    <w:t xml:space="preserve">Ar CE marķējumu nemarķētu speciāli piegādātu medicīnisko ierīču iegādes </w:t>
                  </w:r>
                  <w:r w:rsidRPr="008F5363">
                    <w:rPr>
                      <w:rFonts w:ascii="Times New Roman" w:hAnsi="Times New Roman" w:cs="Times New Roman"/>
                      <w:sz w:val="24"/>
                      <w:szCs w:val="24"/>
                    </w:rPr>
                    <w:lastRenderedPageBreak/>
                    <w:t>iesnieguma un tam pievienotās dokumentācijas ekspertīze</w:t>
                  </w:r>
                  <w:r w:rsidRPr="008F5363">
                    <w:rPr>
                      <w:rFonts w:ascii="Times New Roman" w:hAnsi="Times New Roman" w:cs="Times New Roman"/>
                      <w:sz w:val="24"/>
                      <w:szCs w:val="24"/>
                      <w:vertAlign w:val="superscript"/>
                    </w:rPr>
                    <w:t>1</w:t>
                  </w:r>
                </w:p>
              </w:tc>
              <w:tc>
                <w:tcPr>
                  <w:tcW w:w="1559" w:type="dxa"/>
                  <w:shd w:val="clear" w:color="auto" w:fill="auto"/>
                  <w:vAlign w:val="center"/>
                </w:tcPr>
                <w:p w14:paraId="3D35F508" w14:textId="77777777" w:rsidR="00BB7542" w:rsidRPr="008F5363" w:rsidRDefault="00BB7542" w:rsidP="00BB7542">
                  <w:pPr>
                    <w:spacing w:after="0"/>
                    <w:jc w:val="center"/>
                    <w:rPr>
                      <w:rFonts w:ascii="Times New Roman" w:hAnsi="Times New Roman" w:cs="Times New Roman"/>
                      <w:sz w:val="24"/>
                      <w:szCs w:val="24"/>
                    </w:rPr>
                  </w:pPr>
                  <w:r w:rsidRPr="008F5363">
                    <w:rPr>
                      <w:rFonts w:ascii="Times New Roman" w:hAnsi="Times New Roman" w:cs="Times New Roman"/>
                      <w:sz w:val="24"/>
                      <w:szCs w:val="24"/>
                    </w:rPr>
                    <w:lastRenderedPageBreak/>
                    <w:t>525,00</w:t>
                  </w:r>
                </w:p>
              </w:tc>
              <w:tc>
                <w:tcPr>
                  <w:tcW w:w="1739" w:type="dxa"/>
                  <w:shd w:val="clear" w:color="auto" w:fill="auto"/>
                  <w:vAlign w:val="center"/>
                </w:tcPr>
                <w:p w14:paraId="5A05FB50" w14:textId="77777777" w:rsidR="00BB7542" w:rsidRPr="008F5363" w:rsidRDefault="00BB7542" w:rsidP="00BB7542">
                  <w:pPr>
                    <w:autoSpaceDE w:val="0"/>
                    <w:autoSpaceDN w:val="0"/>
                    <w:adjustRightInd w:val="0"/>
                    <w:spacing w:after="0"/>
                    <w:jc w:val="center"/>
                    <w:rPr>
                      <w:rFonts w:ascii="Times New Roman" w:hAnsi="Times New Roman" w:cs="Times New Roman"/>
                      <w:color w:val="000000"/>
                      <w:sz w:val="24"/>
                      <w:szCs w:val="24"/>
                    </w:rPr>
                  </w:pPr>
                  <w:r w:rsidRPr="008F5363">
                    <w:rPr>
                      <w:rFonts w:ascii="Times New Roman" w:hAnsi="Times New Roman" w:cs="Times New Roman"/>
                      <w:color w:val="000000"/>
                      <w:sz w:val="24"/>
                      <w:szCs w:val="24"/>
                    </w:rPr>
                    <w:t>-1</w:t>
                  </w:r>
                </w:p>
              </w:tc>
              <w:tc>
                <w:tcPr>
                  <w:tcW w:w="1470" w:type="dxa"/>
                  <w:shd w:val="clear" w:color="auto" w:fill="auto"/>
                  <w:vAlign w:val="center"/>
                </w:tcPr>
                <w:p w14:paraId="328709E0" w14:textId="77777777" w:rsidR="00BB7542" w:rsidRPr="008F5363" w:rsidRDefault="00BB7542" w:rsidP="00BB7542">
                  <w:pPr>
                    <w:autoSpaceDE w:val="0"/>
                    <w:autoSpaceDN w:val="0"/>
                    <w:adjustRightInd w:val="0"/>
                    <w:spacing w:after="0"/>
                    <w:jc w:val="center"/>
                    <w:rPr>
                      <w:rFonts w:ascii="Times New Roman" w:hAnsi="Times New Roman" w:cs="Times New Roman"/>
                      <w:color w:val="000000"/>
                      <w:sz w:val="24"/>
                      <w:szCs w:val="24"/>
                    </w:rPr>
                  </w:pPr>
                  <w:r w:rsidRPr="008F5363">
                    <w:rPr>
                      <w:rFonts w:ascii="Times New Roman" w:hAnsi="Times New Roman" w:cs="Times New Roman"/>
                      <w:color w:val="000000"/>
                      <w:sz w:val="24"/>
                      <w:szCs w:val="24"/>
                    </w:rPr>
                    <w:t>-525,00</w:t>
                  </w:r>
                </w:p>
              </w:tc>
            </w:tr>
            <w:tr w:rsidR="00BB7542" w:rsidRPr="008F5363" w14:paraId="34BF3132" w14:textId="77777777" w:rsidTr="00E3690C">
              <w:trPr>
                <w:trHeight w:val="685"/>
                <w:jc w:val="center"/>
              </w:trPr>
              <w:tc>
                <w:tcPr>
                  <w:tcW w:w="2673" w:type="dxa"/>
                  <w:shd w:val="clear" w:color="auto" w:fill="auto"/>
                </w:tcPr>
                <w:p w14:paraId="7020A673" w14:textId="77777777" w:rsidR="00BB7542" w:rsidRPr="008F5363" w:rsidRDefault="00BB7542" w:rsidP="00BB7542">
                  <w:pPr>
                    <w:spacing w:after="0" w:line="240" w:lineRule="auto"/>
                    <w:ind w:left="33"/>
                    <w:contextualSpacing/>
                    <w:rPr>
                      <w:rFonts w:ascii="Times New Roman" w:hAnsi="Times New Roman" w:cs="Times New Roman"/>
                      <w:b/>
                      <w:sz w:val="24"/>
                      <w:szCs w:val="24"/>
                    </w:rPr>
                  </w:pPr>
                  <w:r w:rsidRPr="008F5363">
                    <w:rPr>
                      <w:rFonts w:ascii="Times New Roman" w:hAnsi="Times New Roman" w:cs="Times New Roman"/>
                      <w:sz w:val="24"/>
                      <w:szCs w:val="24"/>
                    </w:rPr>
                    <w:t xml:space="preserve">Iesnieguma un  dokumentācijas ekspertīze, lai laistu tirgū vai izmantotu atsevišķas medicīniskās ierīces vai </w:t>
                  </w:r>
                  <w:r w:rsidRPr="008F5363">
                    <w:rPr>
                      <w:rFonts w:ascii="Times New Roman" w:hAnsi="Times New Roman" w:cs="Times New Roman"/>
                      <w:i/>
                      <w:iCs/>
                      <w:sz w:val="24"/>
                      <w:szCs w:val="24"/>
                    </w:rPr>
                    <w:t xml:space="preserve">in vitro </w:t>
                  </w:r>
                  <w:r w:rsidRPr="008F5363">
                    <w:rPr>
                      <w:rFonts w:ascii="Times New Roman" w:hAnsi="Times New Roman" w:cs="Times New Roman"/>
                      <w:sz w:val="24"/>
                      <w:szCs w:val="24"/>
                    </w:rPr>
                    <w:t>diagnostikas medicīniskās ierīces, kurām nav veiktas normatīvajos aktos paredzētās atbilstības novērtēšanas procedūras un kuras nav marķētas ar CE marķējumu</w:t>
                  </w:r>
                  <w:r w:rsidRPr="008F5363">
                    <w:rPr>
                      <w:rFonts w:ascii="Times New Roman" w:hAnsi="Times New Roman" w:cs="Times New Roman"/>
                      <w:sz w:val="24"/>
                      <w:szCs w:val="24"/>
                      <w:vertAlign w:val="superscript"/>
                    </w:rPr>
                    <w:t>1</w:t>
                  </w:r>
                </w:p>
              </w:tc>
              <w:tc>
                <w:tcPr>
                  <w:tcW w:w="1559" w:type="dxa"/>
                  <w:shd w:val="clear" w:color="auto" w:fill="auto"/>
                  <w:vAlign w:val="center"/>
                </w:tcPr>
                <w:p w14:paraId="2F9E6BDC" w14:textId="65B8375C" w:rsidR="00BB7542" w:rsidRPr="008F5363" w:rsidRDefault="00BB7542" w:rsidP="00BB7542">
                  <w:pPr>
                    <w:spacing w:after="0" w:line="240" w:lineRule="auto"/>
                    <w:jc w:val="center"/>
                    <w:rPr>
                      <w:rFonts w:ascii="Times New Roman" w:hAnsi="Times New Roman" w:cs="Times New Roman"/>
                      <w:bCs/>
                      <w:sz w:val="24"/>
                      <w:szCs w:val="24"/>
                    </w:rPr>
                  </w:pPr>
                  <w:r w:rsidRPr="008F5363">
                    <w:rPr>
                      <w:rFonts w:ascii="Times New Roman" w:hAnsi="Times New Roman" w:cs="Times New Roman"/>
                      <w:sz w:val="24"/>
                      <w:szCs w:val="24"/>
                    </w:rPr>
                    <w:t>5</w:t>
                  </w:r>
                  <w:r w:rsidR="00927D28" w:rsidRPr="008F5363">
                    <w:rPr>
                      <w:rFonts w:ascii="Times New Roman" w:hAnsi="Times New Roman" w:cs="Times New Roman"/>
                      <w:sz w:val="24"/>
                      <w:szCs w:val="24"/>
                    </w:rPr>
                    <w:t>28</w:t>
                  </w:r>
                  <w:r w:rsidRPr="008F5363">
                    <w:rPr>
                      <w:rFonts w:ascii="Times New Roman" w:hAnsi="Times New Roman" w:cs="Times New Roman"/>
                      <w:sz w:val="24"/>
                      <w:szCs w:val="24"/>
                    </w:rPr>
                    <w:t>,</w:t>
                  </w:r>
                  <w:r w:rsidR="00927D28" w:rsidRPr="008F5363">
                    <w:rPr>
                      <w:rFonts w:ascii="Times New Roman" w:hAnsi="Times New Roman" w:cs="Times New Roman"/>
                      <w:sz w:val="24"/>
                      <w:szCs w:val="24"/>
                    </w:rPr>
                    <w:t>6</w:t>
                  </w:r>
                  <w:r w:rsidRPr="008F5363">
                    <w:rPr>
                      <w:rFonts w:ascii="Times New Roman" w:hAnsi="Times New Roman" w:cs="Times New Roman"/>
                      <w:sz w:val="24"/>
                      <w:szCs w:val="24"/>
                    </w:rPr>
                    <w:t>0</w:t>
                  </w:r>
                </w:p>
              </w:tc>
              <w:tc>
                <w:tcPr>
                  <w:tcW w:w="1739" w:type="dxa"/>
                  <w:shd w:val="clear" w:color="auto" w:fill="auto"/>
                  <w:vAlign w:val="center"/>
                </w:tcPr>
                <w:p w14:paraId="6B9CB375" w14:textId="77777777" w:rsidR="00BB7542" w:rsidRPr="008F5363" w:rsidRDefault="00BB7542" w:rsidP="00BB7542">
                  <w:pPr>
                    <w:jc w:val="center"/>
                    <w:rPr>
                      <w:rFonts w:ascii="Times New Roman" w:hAnsi="Times New Roman" w:cs="Times New Roman"/>
                      <w:sz w:val="24"/>
                      <w:szCs w:val="24"/>
                    </w:rPr>
                  </w:pPr>
                  <w:r w:rsidRPr="008F5363">
                    <w:rPr>
                      <w:rFonts w:ascii="Times New Roman" w:hAnsi="Times New Roman" w:cs="Times New Roman"/>
                      <w:color w:val="000000"/>
                      <w:sz w:val="24"/>
                      <w:szCs w:val="24"/>
                    </w:rPr>
                    <w:t>2</w:t>
                  </w:r>
                </w:p>
              </w:tc>
              <w:tc>
                <w:tcPr>
                  <w:tcW w:w="1470" w:type="dxa"/>
                  <w:shd w:val="clear" w:color="auto" w:fill="auto"/>
                  <w:vAlign w:val="center"/>
                </w:tcPr>
                <w:p w14:paraId="759D75DA" w14:textId="677B089F" w:rsidR="00BB7542" w:rsidRPr="008F5363" w:rsidRDefault="00BB7542" w:rsidP="00BB7542">
                  <w:pPr>
                    <w:autoSpaceDE w:val="0"/>
                    <w:autoSpaceDN w:val="0"/>
                    <w:adjustRightInd w:val="0"/>
                    <w:spacing w:after="0" w:line="240" w:lineRule="auto"/>
                    <w:jc w:val="center"/>
                    <w:rPr>
                      <w:rFonts w:ascii="Times New Roman" w:hAnsi="Times New Roman" w:cs="Times New Roman"/>
                      <w:bCs/>
                      <w:color w:val="000000"/>
                      <w:sz w:val="24"/>
                      <w:szCs w:val="24"/>
                    </w:rPr>
                  </w:pPr>
                  <w:r w:rsidRPr="008F5363">
                    <w:rPr>
                      <w:rFonts w:ascii="Times New Roman" w:hAnsi="Times New Roman" w:cs="Times New Roman"/>
                      <w:color w:val="000000"/>
                      <w:sz w:val="24"/>
                      <w:szCs w:val="24"/>
                    </w:rPr>
                    <w:t>1 0</w:t>
                  </w:r>
                  <w:r w:rsidR="00927D28" w:rsidRPr="008F5363">
                    <w:rPr>
                      <w:rFonts w:ascii="Times New Roman" w:hAnsi="Times New Roman" w:cs="Times New Roman"/>
                      <w:color w:val="000000"/>
                      <w:sz w:val="24"/>
                      <w:szCs w:val="24"/>
                    </w:rPr>
                    <w:t>57</w:t>
                  </w:r>
                  <w:r w:rsidRPr="008F5363">
                    <w:rPr>
                      <w:rFonts w:ascii="Times New Roman" w:hAnsi="Times New Roman" w:cs="Times New Roman"/>
                      <w:color w:val="000000"/>
                      <w:sz w:val="24"/>
                      <w:szCs w:val="24"/>
                    </w:rPr>
                    <w:t>,</w:t>
                  </w:r>
                  <w:r w:rsidR="00927D28" w:rsidRPr="008F5363">
                    <w:rPr>
                      <w:rFonts w:ascii="Times New Roman" w:hAnsi="Times New Roman" w:cs="Times New Roman"/>
                      <w:color w:val="000000"/>
                      <w:sz w:val="24"/>
                      <w:szCs w:val="24"/>
                    </w:rPr>
                    <w:t>2</w:t>
                  </w:r>
                  <w:r w:rsidRPr="008F5363">
                    <w:rPr>
                      <w:rFonts w:ascii="Times New Roman" w:hAnsi="Times New Roman" w:cs="Times New Roman"/>
                      <w:color w:val="000000"/>
                      <w:sz w:val="24"/>
                      <w:szCs w:val="24"/>
                    </w:rPr>
                    <w:t>0</w:t>
                  </w:r>
                </w:p>
              </w:tc>
            </w:tr>
            <w:tr w:rsidR="00BB7542" w:rsidRPr="008F5363" w14:paraId="4A7888D1" w14:textId="77777777" w:rsidTr="00E3690C">
              <w:trPr>
                <w:trHeight w:val="685"/>
                <w:jc w:val="center"/>
              </w:trPr>
              <w:tc>
                <w:tcPr>
                  <w:tcW w:w="2673" w:type="dxa"/>
                  <w:shd w:val="clear" w:color="auto" w:fill="auto"/>
                </w:tcPr>
                <w:p w14:paraId="25CF0E87" w14:textId="77777777" w:rsidR="00BB7542" w:rsidRPr="008F5363" w:rsidRDefault="00BB7542" w:rsidP="00BB7542">
                  <w:pPr>
                    <w:pStyle w:val="NoSpacing"/>
                    <w:jc w:val="both"/>
                  </w:pPr>
                  <w:r w:rsidRPr="008F5363">
                    <w:t xml:space="preserve">Informācijas izskatīšana par I klases, </w:t>
                  </w:r>
                  <w:r w:rsidRPr="008F5363">
                    <w:rPr>
                      <w:i/>
                      <w:iCs/>
                    </w:rPr>
                    <w:t>in vitro</w:t>
                  </w:r>
                  <w:r w:rsidRPr="008F5363">
                    <w:t xml:space="preserve"> diagnostikas un pēc pasūtījuma ražotu medicīnisko ierīču ražotāja, kā arī medicīnisko ierīču (kurām ir CE marķējums) sistēmu vai procedūru komplektu komplektētāja (kura komercdarbības vieta reģistrēta Latvijas Republikā) darbības uzsākšanu un attiecīgās informācijas iekļaušana LATMED un EUDAMED</w:t>
                  </w:r>
                  <w:r w:rsidRPr="008F5363">
                    <w:rPr>
                      <w:vertAlign w:val="superscript"/>
                    </w:rPr>
                    <w:t>1</w:t>
                  </w:r>
                </w:p>
              </w:tc>
              <w:tc>
                <w:tcPr>
                  <w:tcW w:w="1559" w:type="dxa"/>
                  <w:shd w:val="clear" w:color="auto" w:fill="auto"/>
                  <w:vAlign w:val="center"/>
                </w:tcPr>
                <w:p w14:paraId="136D0FD6" w14:textId="77777777" w:rsidR="00BB7542" w:rsidRPr="008F5363" w:rsidRDefault="00BB7542" w:rsidP="00BB7542">
                  <w:pPr>
                    <w:spacing w:after="0" w:line="240" w:lineRule="auto"/>
                    <w:jc w:val="center"/>
                    <w:rPr>
                      <w:rFonts w:ascii="Times New Roman" w:hAnsi="Times New Roman" w:cs="Times New Roman"/>
                      <w:sz w:val="24"/>
                      <w:szCs w:val="24"/>
                    </w:rPr>
                  </w:pPr>
                  <w:r w:rsidRPr="008F5363">
                    <w:rPr>
                      <w:rFonts w:ascii="Times New Roman" w:hAnsi="Times New Roman" w:cs="Times New Roman"/>
                      <w:sz w:val="24"/>
                      <w:szCs w:val="24"/>
                    </w:rPr>
                    <w:t>100,00</w:t>
                  </w:r>
                </w:p>
              </w:tc>
              <w:tc>
                <w:tcPr>
                  <w:tcW w:w="1739" w:type="dxa"/>
                  <w:shd w:val="clear" w:color="auto" w:fill="auto"/>
                  <w:vAlign w:val="center"/>
                </w:tcPr>
                <w:p w14:paraId="5A054075" w14:textId="77777777" w:rsidR="00BB7542" w:rsidRPr="008F5363" w:rsidRDefault="00BB7542" w:rsidP="00BB7542">
                  <w:pPr>
                    <w:autoSpaceDE w:val="0"/>
                    <w:autoSpaceDN w:val="0"/>
                    <w:adjustRightInd w:val="0"/>
                    <w:spacing w:after="0" w:line="240" w:lineRule="auto"/>
                    <w:jc w:val="center"/>
                    <w:rPr>
                      <w:rFonts w:ascii="Times New Roman" w:hAnsi="Times New Roman" w:cs="Times New Roman"/>
                      <w:color w:val="000000"/>
                      <w:sz w:val="24"/>
                      <w:szCs w:val="24"/>
                    </w:rPr>
                  </w:pPr>
                  <w:r w:rsidRPr="008F5363">
                    <w:rPr>
                      <w:rFonts w:ascii="Times New Roman" w:hAnsi="Times New Roman" w:cs="Times New Roman"/>
                      <w:color w:val="000000"/>
                      <w:sz w:val="24"/>
                      <w:szCs w:val="24"/>
                    </w:rPr>
                    <w:t>-7</w:t>
                  </w:r>
                </w:p>
              </w:tc>
              <w:tc>
                <w:tcPr>
                  <w:tcW w:w="1470" w:type="dxa"/>
                  <w:shd w:val="clear" w:color="auto" w:fill="auto"/>
                  <w:vAlign w:val="center"/>
                </w:tcPr>
                <w:p w14:paraId="1686BFCB" w14:textId="77777777" w:rsidR="00BB7542" w:rsidRPr="008F5363" w:rsidRDefault="00BB7542" w:rsidP="00BB7542">
                  <w:pPr>
                    <w:autoSpaceDE w:val="0"/>
                    <w:autoSpaceDN w:val="0"/>
                    <w:adjustRightInd w:val="0"/>
                    <w:spacing w:after="0" w:line="240" w:lineRule="auto"/>
                    <w:jc w:val="center"/>
                    <w:rPr>
                      <w:rFonts w:ascii="Times New Roman" w:hAnsi="Times New Roman" w:cs="Times New Roman"/>
                      <w:color w:val="000000"/>
                      <w:sz w:val="24"/>
                      <w:szCs w:val="24"/>
                    </w:rPr>
                  </w:pPr>
                  <w:r w:rsidRPr="008F5363">
                    <w:rPr>
                      <w:rFonts w:ascii="Times New Roman" w:hAnsi="Times New Roman" w:cs="Times New Roman"/>
                      <w:color w:val="000000"/>
                      <w:sz w:val="24"/>
                      <w:szCs w:val="24"/>
                    </w:rPr>
                    <w:t>-700,00</w:t>
                  </w:r>
                </w:p>
              </w:tc>
            </w:tr>
            <w:tr w:rsidR="00BB7542" w:rsidRPr="008F5363" w14:paraId="2A063948" w14:textId="77777777" w:rsidTr="00E3690C">
              <w:trPr>
                <w:trHeight w:val="685"/>
                <w:jc w:val="center"/>
              </w:trPr>
              <w:tc>
                <w:tcPr>
                  <w:tcW w:w="2673" w:type="dxa"/>
                  <w:shd w:val="clear" w:color="auto" w:fill="auto"/>
                </w:tcPr>
                <w:p w14:paraId="1FE4EE77" w14:textId="1A01D3EB" w:rsidR="00BB7542" w:rsidRPr="008F5363" w:rsidRDefault="00BB7542" w:rsidP="00BB7542">
                  <w:pPr>
                    <w:pStyle w:val="NoSpacing"/>
                    <w:jc w:val="both"/>
                    <w:rPr>
                      <w:vertAlign w:val="superscript"/>
                    </w:rPr>
                  </w:pPr>
                  <w:r w:rsidRPr="008F5363">
                    <w:t>Medicīnisko ierīču vigilances sistēmas darbības nodrošināšanas gada maksa</w:t>
                  </w:r>
                  <w:r w:rsidRPr="008F5363">
                    <w:rPr>
                      <w:vertAlign w:val="superscript"/>
                    </w:rPr>
                    <w:t>1</w:t>
                  </w:r>
                </w:p>
                <w:p w14:paraId="21457080" w14:textId="1DA77750" w:rsidR="00BB7542" w:rsidRPr="009E1D14" w:rsidRDefault="00BB7542" w:rsidP="009E1D14">
                  <w:pPr>
                    <w:pStyle w:val="NoSpacing"/>
                    <w:jc w:val="both"/>
                    <w:rPr>
                      <w:vertAlign w:val="superscript"/>
                    </w:rPr>
                  </w:pPr>
                  <w:r w:rsidRPr="008F5363">
                    <w:t xml:space="preserve">Par I klases medicīnisko ierīču un citu (pārējo) </w:t>
                  </w:r>
                  <w:r w:rsidRPr="008F5363">
                    <w:rPr>
                      <w:i/>
                    </w:rPr>
                    <w:t>in vitro</w:t>
                  </w:r>
                  <w:r w:rsidRPr="008F5363">
                    <w:t xml:space="preserve"> diagnostikas medicīnisko ierīču vigilances sistēmas darbības nodrošināšanu</w:t>
                  </w:r>
                </w:p>
              </w:tc>
              <w:tc>
                <w:tcPr>
                  <w:tcW w:w="1559" w:type="dxa"/>
                  <w:shd w:val="clear" w:color="auto" w:fill="auto"/>
                  <w:vAlign w:val="center"/>
                </w:tcPr>
                <w:p w14:paraId="7FF9AB13" w14:textId="791E3EA7" w:rsidR="00BB7542" w:rsidRPr="008F5363" w:rsidRDefault="00560D71" w:rsidP="00BB7542">
                  <w:pPr>
                    <w:spacing w:after="0" w:line="240" w:lineRule="auto"/>
                    <w:jc w:val="center"/>
                    <w:rPr>
                      <w:rFonts w:ascii="Times New Roman" w:hAnsi="Times New Roman" w:cs="Times New Roman"/>
                      <w:b/>
                      <w:sz w:val="24"/>
                      <w:szCs w:val="24"/>
                    </w:rPr>
                  </w:pPr>
                  <w:r w:rsidRPr="008F5363">
                    <w:rPr>
                      <w:rFonts w:ascii="Times New Roman" w:hAnsi="Times New Roman" w:cs="Times New Roman"/>
                      <w:sz w:val="24"/>
                      <w:szCs w:val="24"/>
                    </w:rPr>
                    <w:t>105</w:t>
                  </w:r>
                  <w:r w:rsidR="00BB7542" w:rsidRPr="008F5363">
                    <w:rPr>
                      <w:rFonts w:ascii="Times New Roman" w:hAnsi="Times New Roman" w:cs="Times New Roman"/>
                      <w:sz w:val="24"/>
                      <w:szCs w:val="24"/>
                    </w:rPr>
                    <w:t>,</w:t>
                  </w:r>
                  <w:r w:rsidR="00927D28" w:rsidRPr="008F5363">
                    <w:rPr>
                      <w:rFonts w:ascii="Times New Roman" w:hAnsi="Times New Roman" w:cs="Times New Roman"/>
                      <w:sz w:val="24"/>
                      <w:szCs w:val="24"/>
                    </w:rPr>
                    <w:t>2</w:t>
                  </w:r>
                  <w:r w:rsidR="00BB7542" w:rsidRPr="008F5363">
                    <w:rPr>
                      <w:rFonts w:ascii="Times New Roman" w:hAnsi="Times New Roman" w:cs="Times New Roman"/>
                      <w:sz w:val="24"/>
                      <w:szCs w:val="24"/>
                    </w:rPr>
                    <w:t>0</w:t>
                  </w:r>
                </w:p>
              </w:tc>
              <w:tc>
                <w:tcPr>
                  <w:tcW w:w="1739" w:type="dxa"/>
                  <w:shd w:val="clear" w:color="auto" w:fill="auto"/>
                  <w:vAlign w:val="center"/>
                </w:tcPr>
                <w:p w14:paraId="2824EA2B" w14:textId="6BBFCBFA" w:rsidR="00BB7542" w:rsidRPr="008F5363" w:rsidRDefault="00560D71" w:rsidP="00BB7542">
                  <w:pPr>
                    <w:autoSpaceDE w:val="0"/>
                    <w:autoSpaceDN w:val="0"/>
                    <w:adjustRightInd w:val="0"/>
                    <w:spacing w:after="0" w:line="240" w:lineRule="auto"/>
                    <w:jc w:val="center"/>
                    <w:rPr>
                      <w:rFonts w:ascii="Times New Roman" w:hAnsi="Times New Roman" w:cs="Times New Roman"/>
                      <w:b/>
                      <w:color w:val="000000"/>
                      <w:sz w:val="24"/>
                      <w:szCs w:val="24"/>
                    </w:rPr>
                  </w:pPr>
                  <w:r w:rsidRPr="008F5363">
                    <w:rPr>
                      <w:rFonts w:ascii="Times New Roman" w:hAnsi="Times New Roman" w:cs="Times New Roman"/>
                      <w:color w:val="000000"/>
                      <w:sz w:val="24"/>
                      <w:szCs w:val="24"/>
                    </w:rPr>
                    <w:t>100</w:t>
                  </w:r>
                </w:p>
              </w:tc>
              <w:tc>
                <w:tcPr>
                  <w:tcW w:w="1470" w:type="dxa"/>
                  <w:shd w:val="clear" w:color="auto" w:fill="auto"/>
                  <w:vAlign w:val="center"/>
                </w:tcPr>
                <w:p w14:paraId="2B384D9D" w14:textId="4A3C2635" w:rsidR="00BB7542" w:rsidRPr="008F5363" w:rsidRDefault="00560D71" w:rsidP="00BB7542">
                  <w:pPr>
                    <w:autoSpaceDE w:val="0"/>
                    <w:autoSpaceDN w:val="0"/>
                    <w:adjustRightInd w:val="0"/>
                    <w:spacing w:after="0" w:line="240" w:lineRule="auto"/>
                    <w:jc w:val="center"/>
                    <w:rPr>
                      <w:rFonts w:ascii="Times New Roman" w:hAnsi="Times New Roman" w:cs="Times New Roman"/>
                      <w:b/>
                      <w:color w:val="000000"/>
                      <w:sz w:val="24"/>
                      <w:szCs w:val="24"/>
                    </w:rPr>
                  </w:pPr>
                  <w:r w:rsidRPr="008F5363">
                    <w:rPr>
                      <w:rFonts w:ascii="Times New Roman" w:hAnsi="Times New Roman" w:cs="Times New Roman"/>
                      <w:color w:val="000000"/>
                      <w:sz w:val="24"/>
                      <w:szCs w:val="24"/>
                    </w:rPr>
                    <w:t>10 5</w:t>
                  </w:r>
                  <w:r w:rsidR="00927D28" w:rsidRPr="008F5363">
                    <w:rPr>
                      <w:rFonts w:ascii="Times New Roman" w:hAnsi="Times New Roman" w:cs="Times New Roman"/>
                      <w:color w:val="000000"/>
                      <w:sz w:val="24"/>
                      <w:szCs w:val="24"/>
                    </w:rPr>
                    <w:t>2</w:t>
                  </w:r>
                  <w:r w:rsidRPr="008F5363">
                    <w:rPr>
                      <w:rFonts w:ascii="Times New Roman" w:hAnsi="Times New Roman" w:cs="Times New Roman"/>
                      <w:color w:val="000000"/>
                      <w:sz w:val="24"/>
                      <w:szCs w:val="24"/>
                    </w:rPr>
                    <w:t>0</w:t>
                  </w:r>
                  <w:r w:rsidR="00BB7542" w:rsidRPr="008F5363">
                    <w:rPr>
                      <w:rFonts w:ascii="Times New Roman" w:hAnsi="Times New Roman" w:cs="Times New Roman"/>
                      <w:color w:val="000000"/>
                      <w:sz w:val="24"/>
                      <w:szCs w:val="24"/>
                    </w:rPr>
                    <w:t>,00</w:t>
                  </w:r>
                </w:p>
              </w:tc>
            </w:tr>
            <w:tr w:rsidR="00BB7542" w:rsidRPr="008F5363" w14:paraId="068ED73C" w14:textId="77777777" w:rsidTr="00E3690C">
              <w:trPr>
                <w:trHeight w:val="685"/>
                <w:jc w:val="center"/>
              </w:trPr>
              <w:tc>
                <w:tcPr>
                  <w:tcW w:w="2673" w:type="dxa"/>
                  <w:shd w:val="clear" w:color="auto" w:fill="auto"/>
                </w:tcPr>
                <w:p w14:paraId="4BD0504E" w14:textId="77777777" w:rsidR="00BB7542" w:rsidRPr="008F5363" w:rsidRDefault="00BB7542" w:rsidP="00BB7542">
                  <w:pPr>
                    <w:pStyle w:val="NoSpacing"/>
                    <w:jc w:val="both"/>
                    <w:rPr>
                      <w:vertAlign w:val="superscript"/>
                    </w:rPr>
                  </w:pPr>
                  <w:r w:rsidRPr="008F5363">
                    <w:t>Medicīnisko ierīču vigilances sistēmas darbības nodrošināšanas gada maksa</w:t>
                  </w:r>
                  <w:r w:rsidRPr="008F5363">
                    <w:rPr>
                      <w:vertAlign w:val="superscript"/>
                    </w:rPr>
                    <w:t>1</w:t>
                  </w:r>
                </w:p>
                <w:p w14:paraId="1777B4C6" w14:textId="3C98FD4C" w:rsidR="00BB7542" w:rsidRPr="009E1D14" w:rsidRDefault="00BB7542" w:rsidP="009E1D14">
                  <w:pPr>
                    <w:pStyle w:val="NoSpacing"/>
                    <w:jc w:val="both"/>
                    <w:rPr>
                      <w:vertAlign w:val="superscript"/>
                    </w:rPr>
                  </w:pPr>
                  <w:r w:rsidRPr="008F5363">
                    <w:t>Par IIa, IIb un III klases</w:t>
                  </w:r>
                  <w:r w:rsidR="005A5491" w:rsidRPr="008F5363">
                    <w:t xml:space="preserve"> (</w:t>
                  </w:r>
                  <w:r w:rsidR="00C802DB" w:rsidRPr="008F5363">
                    <w:t>ietverot arī</w:t>
                  </w:r>
                  <w:r w:rsidR="00B71B84" w:rsidRPr="008F5363">
                    <w:t xml:space="preserve"> </w:t>
                  </w:r>
                  <w:r w:rsidR="005A5491" w:rsidRPr="008F5363">
                    <w:t xml:space="preserve">I klases) </w:t>
                  </w:r>
                  <w:r w:rsidRPr="008F5363">
                    <w:t xml:space="preserve"> </w:t>
                  </w:r>
                  <w:r w:rsidRPr="008F5363">
                    <w:lastRenderedPageBreak/>
                    <w:t>medicīnisko ierīču, A saraksta, B saraksta un pašpārbaudes</w:t>
                  </w:r>
                  <w:r w:rsidR="00C802DB" w:rsidRPr="008F5363">
                    <w:t xml:space="preserve"> (ietverot arī citas (pārējās))</w:t>
                  </w:r>
                  <w:r w:rsidRPr="008F5363">
                    <w:t xml:space="preserve"> </w:t>
                  </w:r>
                  <w:r w:rsidRPr="008F5363">
                    <w:rPr>
                      <w:i/>
                    </w:rPr>
                    <w:t>in vitro</w:t>
                  </w:r>
                  <w:r w:rsidRPr="008F5363">
                    <w:t xml:space="preserve"> diagnostikas medicīnisko ierīču vigilances sistēmas darbības nodrošināšanu</w:t>
                  </w:r>
                </w:p>
              </w:tc>
              <w:tc>
                <w:tcPr>
                  <w:tcW w:w="1559" w:type="dxa"/>
                  <w:shd w:val="clear" w:color="auto" w:fill="auto"/>
                  <w:vAlign w:val="center"/>
                </w:tcPr>
                <w:p w14:paraId="665ED90F" w14:textId="7097D80D" w:rsidR="00BB7542" w:rsidRPr="008F5363" w:rsidRDefault="00560D71" w:rsidP="00BB7542">
                  <w:pPr>
                    <w:spacing w:after="0" w:line="240" w:lineRule="auto"/>
                    <w:jc w:val="center"/>
                    <w:rPr>
                      <w:rFonts w:ascii="Times New Roman" w:hAnsi="Times New Roman" w:cs="Times New Roman"/>
                      <w:b/>
                      <w:sz w:val="24"/>
                      <w:szCs w:val="24"/>
                    </w:rPr>
                  </w:pPr>
                  <w:r w:rsidRPr="008F5363">
                    <w:rPr>
                      <w:rFonts w:ascii="Times New Roman" w:hAnsi="Times New Roman" w:cs="Times New Roman"/>
                      <w:sz w:val="24"/>
                      <w:szCs w:val="24"/>
                    </w:rPr>
                    <w:lastRenderedPageBreak/>
                    <w:t>20</w:t>
                  </w:r>
                  <w:r w:rsidR="00927D28" w:rsidRPr="008F5363">
                    <w:rPr>
                      <w:rFonts w:ascii="Times New Roman" w:hAnsi="Times New Roman" w:cs="Times New Roman"/>
                      <w:sz w:val="24"/>
                      <w:szCs w:val="24"/>
                    </w:rPr>
                    <w:t>1</w:t>
                  </w:r>
                  <w:r w:rsidR="00BB7542" w:rsidRPr="008F5363">
                    <w:rPr>
                      <w:rFonts w:ascii="Times New Roman" w:hAnsi="Times New Roman" w:cs="Times New Roman"/>
                      <w:sz w:val="24"/>
                      <w:szCs w:val="24"/>
                    </w:rPr>
                    <w:t>,</w:t>
                  </w:r>
                  <w:r w:rsidR="00927D28" w:rsidRPr="008F5363">
                    <w:rPr>
                      <w:rFonts w:ascii="Times New Roman" w:hAnsi="Times New Roman" w:cs="Times New Roman"/>
                      <w:sz w:val="24"/>
                      <w:szCs w:val="24"/>
                    </w:rPr>
                    <w:t>9</w:t>
                  </w:r>
                  <w:r w:rsidR="00BB7542" w:rsidRPr="008F5363">
                    <w:rPr>
                      <w:rFonts w:ascii="Times New Roman" w:hAnsi="Times New Roman" w:cs="Times New Roman"/>
                      <w:sz w:val="24"/>
                      <w:szCs w:val="24"/>
                    </w:rPr>
                    <w:t>0</w:t>
                  </w:r>
                </w:p>
              </w:tc>
              <w:tc>
                <w:tcPr>
                  <w:tcW w:w="1739" w:type="dxa"/>
                  <w:shd w:val="clear" w:color="auto" w:fill="auto"/>
                  <w:vAlign w:val="center"/>
                </w:tcPr>
                <w:p w14:paraId="5FB9F914" w14:textId="60ACB8FA" w:rsidR="00BB7542" w:rsidRPr="008F5363" w:rsidRDefault="00560D71" w:rsidP="00BB7542">
                  <w:pPr>
                    <w:autoSpaceDE w:val="0"/>
                    <w:autoSpaceDN w:val="0"/>
                    <w:adjustRightInd w:val="0"/>
                    <w:spacing w:before="240" w:line="240" w:lineRule="auto"/>
                    <w:jc w:val="center"/>
                    <w:rPr>
                      <w:rFonts w:ascii="Times New Roman" w:hAnsi="Times New Roman" w:cs="Times New Roman"/>
                      <w:bCs/>
                      <w:color w:val="000000"/>
                      <w:sz w:val="24"/>
                      <w:szCs w:val="24"/>
                    </w:rPr>
                  </w:pPr>
                  <w:r w:rsidRPr="008F5363">
                    <w:rPr>
                      <w:rFonts w:ascii="Times New Roman" w:hAnsi="Times New Roman" w:cs="Times New Roman"/>
                      <w:color w:val="000000"/>
                      <w:sz w:val="24"/>
                      <w:szCs w:val="24"/>
                    </w:rPr>
                    <w:t>400</w:t>
                  </w:r>
                </w:p>
              </w:tc>
              <w:tc>
                <w:tcPr>
                  <w:tcW w:w="1470" w:type="dxa"/>
                  <w:shd w:val="clear" w:color="auto" w:fill="auto"/>
                  <w:vAlign w:val="center"/>
                </w:tcPr>
                <w:p w14:paraId="7C954BEE" w14:textId="1223BFFD" w:rsidR="00BB7542" w:rsidRPr="008F5363" w:rsidRDefault="00560D71" w:rsidP="00BB7542">
                  <w:pPr>
                    <w:autoSpaceDE w:val="0"/>
                    <w:autoSpaceDN w:val="0"/>
                    <w:adjustRightInd w:val="0"/>
                    <w:spacing w:after="0" w:line="240" w:lineRule="auto"/>
                    <w:jc w:val="center"/>
                    <w:rPr>
                      <w:rFonts w:ascii="Times New Roman" w:hAnsi="Times New Roman" w:cs="Times New Roman"/>
                      <w:b/>
                      <w:color w:val="000000"/>
                      <w:sz w:val="24"/>
                      <w:szCs w:val="24"/>
                    </w:rPr>
                  </w:pPr>
                  <w:r w:rsidRPr="008F5363">
                    <w:rPr>
                      <w:rFonts w:ascii="Times New Roman" w:hAnsi="Times New Roman" w:cs="Times New Roman"/>
                      <w:color w:val="000000"/>
                      <w:sz w:val="24"/>
                      <w:szCs w:val="24"/>
                    </w:rPr>
                    <w:t>8</w:t>
                  </w:r>
                  <w:r w:rsidR="00927D28" w:rsidRPr="008F5363">
                    <w:rPr>
                      <w:rFonts w:ascii="Times New Roman" w:hAnsi="Times New Roman" w:cs="Times New Roman"/>
                      <w:color w:val="000000"/>
                      <w:sz w:val="24"/>
                      <w:szCs w:val="24"/>
                    </w:rPr>
                    <w:t>0</w:t>
                  </w:r>
                  <w:r w:rsidRPr="008F5363">
                    <w:rPr>
                      <w:rFonts w:ascii="Times New Roman" w:hAnsi="Times New Roman" w:cs="Times New Roman"/>
                      <w:color w:val="000000"/>
                      <w:sz w:val="24"/>
                      <w:szCs w:val="24"/>
                    </w:rPr>
                    <w:t xml:space="preserve"> </w:t>
                  </w:r>
                  <w:r w:rsidR="00927D28" w:rsidRPr="008F5363">
                    <w:rPr>
                      <w:rFonts w:ascii="Times New Roman" w:hAnsi="Times New Roman" w:cs="Times New Roman"/>
                      <w:color w:val="000000"/>
                      <w:sz w:val="24"/>
                      <w:szCs w:val="24"/>
                    </w:rPr>
                    <w:t>76</w:t>
                  </w:r>
                  <w:r w:rsidRPr="008F5363">
                    <w:rPr>
                      <w:rFonts w:ascii="Times New Roman" w:hAnsi="Times New Roman" w:cs="Times New Roman"/>
                      <w:color w:val="000000"/>
                      <w:sz w:val="24"/>
                      <w:szCs w:val="24"/>
                    </w:rPr>
                    <w:t>0</w:t>
                  </w:r>
                  <w:r w:rsidR="00BB7542" w:rsidRPr="008F5363">
                    <w:rPr>
                      <w:rFonts w:ascii="Times New Roman" w:hAnsi="Times New Roman" w:cs="Times New Roman"/>
                      <w:color w:val="000000"/>
                      <w:sz w:val="24"/>
                      <w:szCs w:val="24"/>
                    </w:rPr>
                    <w:t>,00</w:t>
                  </w:r>
                </w:p>
              </w:tc>
            </w:tr>
          </w:tbl>
          <w:p w14:paraId="74EDA20C" w14:textId="6369BEBC" w:rsidR="000850FF" w:rsidRPr="008314B1" w:rsidRDefault="0049592B" w:rsidP="008314B1">
            <w:pPr>
              <w:autoSpaceDE w:val="0"/>
              <w:autoSpaceDN w:val="0"/>
              <w:adjustRightInd w:val="0"/>
              <w:spacing w:after="0" w:line="240" w:lineRule="auto"/>
              <w:jc w:val="both"/>
              <w:rPr>
                <w:sz w:val="24"/>
                <w:szCs w:val="24"/>
              </w:rPr>
            </w:pPr>
            <w:r w:rsidRPr="008F5363">
              <w:rPr>
                <w:rFonts w:ascii="Times New Roman" w:hAnsi="Times New Roman" w:cs="Times New Roman"/>
                <w:sz w:val="24"/>
                <w:szCs w:val="24"/>
              </w:rPr>
              <w:t>Cenrāža</w:t>
            </w:r>
            <w:r w:rsidR="008314B1" w:rsidRPr="008F5363">
              <w:rPr>
                <w:rFonts w:ascii="Times New Roman" w:hAnsi="Times New Roman" w:cs="Times New Roman"/>
                <w:sz w:val="24"/>
                <w:szCs w:val="24"/>
              </w:rPr>
              <w:t xml:space="preserve"> pielikumā iekļautajiem maksas pakalpojumiem nepiemēro pievienotās vērtības nodokli saskaņā ar Pievienotās vērtības nodokļa likuma 3.panta astoto</w:t>
            </w:r>
            <w:r w:rsidR="008314B1" w:rsidRPr="000970EB">
              <w:rPr>
                <w:rFonts w:ascii="Times New Roman" w:hAnsi="Times New Roman" w:cs="Times New Roman"/>
                <w:sz w:val="24"/>
                <w:szCs w:val="24"/>
              </w:rPr>
              <w:t xml:space="preserve"> daļu</w:t>
            </w:r>
            <w:r w:rsidR="003423CA">
              <w:rPr>
                <w:rFonts w:ascii="Times New Roman" w:hAnsi="Times New Roman" w:cs="Times New Roman"/>
                <w:sz w:val="24"/>
                <w:szCs w:val="24"/>
              </w:rPr>
              <w:t xml:space="preserve">, </w:t>
            </w:r>
            <w:r w:rsidR="003423CA" w:rsidRPr="00312152">
              <w:rPr>
                <w:rFonts w:ascii="Times New Roman" w:hAnsi="Times New Roman" w:cs="Times New Roman"/>
                <w:sz w:val="24"/>
                <w:szCs w:val="24"/>
              </w:rPr>
              <w:t>izņemot Cenrāža pielikuma 53.punktu</w:t>
            </w:r>
            <w:r w:rsidR="008314B1" w:rsidRPr="00312152">
              <w:rPr>
                <w:rFonts w:ascii="Times New Roman" w:hAnsi="Times New Roman" w:cs="Times New Roman"/>
                <w:sz w:val="24"/>
                <w:szCs w:val="24"/>
              </w:rPr>
              <w:t>.</w:t>
            </w:r>
            <w:r w:rsidR="008314B1" w:rsidRPr="000970EB">
              <w:rPr>
                <w:sz w:val="24"/>
                <w:szCs w:val="24"/>
              </w:rPr>
              <w:t xml:space="preserve"> </w:t>
            </w:r>
          </w:p>
          <w:p w14:paraId="77F47CE3" w14:textId="61E08044" w:rsidR="008314B1" w:rsidRDefault="000850FF" w:rsidP="000850FF">
            <w:pPr>
              <w:spacing w:after="0" w:line="240" w:lineRule="auto"/>
              <w:ind w:right="136"/>
              <w:jc w:val="both"/>
              <w:rPr>
                <w:rFonts w:ascii="Times New Roman" w:eastAsia="Times New Roman" w:hAnsi="Times New Roman" w:cs="Times New Roman"/>
                <w:iCs/>
                <w:sz w:val="24"/>
                <w:szCs w:val="24"/>
                <w:lang w:eastAsia="lv-LV"/>
              </w:rPr>
            </w:pPr>
            <w:r w:rsidRPr="00CC58D7">
              <w:rPr>
                <w:rFonts w:ascii="Times New Roman" w:eastAsia="Times New Roman" w:hAnsi="Times New Roman" w:cs="Times New Roman"/>
                <w:iCs/>
                <w:sz w:val="24"/>
                <w:szCs w:val="24"/>
                <w:lang w:eastAsia="lv-LV"/>
              </w:rPr>
              <w:t xml:space="preserve">Detalizēts aprēķins par </w:t>
            </w:r>
            <w:r w:rsidR="00CF39FF">
              <w:rPr>
                <w:rFonts w:ascii="Times New Roman" w:eastAsia="Times New Roman" w:hAnsi="Times New Roman" w:cs="Times New Roman"/>
                <w:iCs/>
                <w:sz w:val="24"/>
                <w:szCs w:val="24"/>
                <w:lang w:eastAsia="lv-LV"/>
              </w:rPr>
              <w:t>A</w:t>
            </w:r>
            <w:r w:rsidRPr="00CC58D7">
              <w:rPr>
                <w:rFonts w:ascii="Times New Roman" w:eastAsia="Times New Roman" w:hAnsi="Times New Roman" w:cs="Times New Roman"/>
                <w:iCs/>
                <w:sz w:val="24"/>
                <w:szCs w:val="24"/>
                <w:lang w:eastAsia="lv-LV"/>
              </w:rPr>
              <w:t xml:space="preserve">ģentūras jauno maksas pakalpojumu ieņēmumiem un tiem atbilstošajiem izdevumiem ir </w:t>
            </w:r>
            <w:r w:rsidR="00487F1A">
              <w:rPr>
                <w:rFonts w:ascii="Times New Roman" w:eastAsia="Times New Roman" w:hAnsi="Times New Roman" w:cs="Times New Roman"/>
                <w:iCs/>
                <w:sz w:val="24"/>
                <w:szCs w:val="24"/>
                <w:lang w:eastAsia="lv-LV"/>
              </w:rPr>
              <w:t>pievienots anotācijas pielikumā.</w:t>
            </w:r>
            <w:r w:rsidR="008314B1">
              <w:rPr>
                <w:rFonts w:ascii="Times New Roman" w:eastAsia="Times New Roman" w:hAnsi="Times New Roman" w:cs="Times New Roman"/>
                <w:iCs/>
                <w:sz w:val="24"/>
                <w:szCs w:val="24"/>
                <w:lang w:eastAsia="lv-LV"/>
              </w:rPr>
              <w:t xml:space="preserve"> </w:t>
            </w:r>
          </w:p>
          <w:p w14:paraId="40C08161" w14:textId="1B67629E" w:rsidR="008314B1" w:rsidRPr="008314B1" w:rsidRDefault="008314B1" w:rsidP="000850FF">
            <w:pPr>
              <w:spacing w:after="0" w:line="240" w:lineRule="auto"/>
              <w:ind w:right="136"/>
              <w:jc w:val="both"/>
              <w:rPr>
                <w:rFonts w:ascii="Times New Roman" w:eastAsia="Times New Roman" w:hAnsi="Times New Roman" w:cs="Times New Roman"/>
                <w:iCs/>
                <w:sz w:val="24"/>
                <w:szCs w:val="24"/>
                <w:lang w:eastAsia="lv-LV"/>
              </w:rPr>
            </w:pPr>
            <w:r w:rsidRPr="008314B1">
              <w:rPr>
                <w:rFonts w:ascii="Times New Roman" w:eastAsia="Times New Roman" w:hAnsi="Times New Roman" w:cs="Times New Roman"/>
                <w:iCs/>
                <w:sz w:val="24"/>
                <w:szCs w:val="24"/>
                <w:lang w:eastAsia="lv-LV"/>
              </w:rPr>
              <w:t xml:space="preserve">Veselības ministrija normatīvajos aktos noteiktajā kārtībā sagatavos un iesniegs Finanšu ministrijā pieprasījumu par apropriācijas pārdali starp programmām/apakšprogrammām un izdevumu kodiem atbilstoši ekonomiskajām kategorijām atbilstoši anotācijas III sadaļā norādītajām plānotajām izmaiņām. Veselības ministrija </w:t>
            </w:r>
            <w:r w:rsidR="00786866">
              <w:rPr>
                <w:rFonts w:ascii="Times New Roman" w:eastAsia="Times New Roman" w:hAnsi="Times New Roman" w:cs="Times New Roman"/>
                <w:iCs/>
                <w:sz w:val="24"/>
                <w:szCs w:val="24"/>
                <w:lang w:eastAsia="lv-LV"/>
              </w:rPr>
              <w:t>iesniegs</w:t>
            </w:r>
            <w:r w:rsidRPr="008314B1">
              <w:rPr>
                <w:rFonts w:ascii="Times New Roman" w:eastAsia="Times New Roman" w:hAnsi="Times New Roman" w:cs="Times New Roman"/>
                <w:iCs/>
                <w:sz w:val="24"/>
                <w:szCs w:val="24"/>
                <w:lang w:eastAsia="lv-LV"/>
              </w:rPr>
              <w:t xml:space="preserve"> Finanšu ministrijai priekšlikumus par valsts pamatbudžeta bāzes izdevumu 202</w:t>
            </w:r>
            <w:r w:rsidR="00786866">
              <w:rPr>
                <w:rFonts w:ascii="Times New Roman" w:eastAsia="Times New Roman" w:hAnsi="Times New Roman" w:cs="Times New Roman"/>
                <w:iCs/>
                <w:sz w:val="24"/>
                <w:szCs w:val="24"/>
                <w:lang w:eastAsia="lv-LV"/>
              </w:rPr>
              <w:t>1</w:t>
            </w:r>
            <w:r w:rsidRPr="008314B1">
              <w:rPr>
                <w:rFonts w:ascii="Times New Roman" w:eastAsia="Times New Roman" w:hAnsi="Times New Roman" w:cs="Times New Roman"/>
                <w:iCs/>
                <w:sz w:val="24"/>
                <w:szCs w:val="24"/>
                <w:lang w:eastAsia="lv-LV"/>
              </w:rPr>
              <w:t>. – 202</w:t>
            </w:r>
            <w:r w:rsidR="00786866">
              <w:rPr>
                <w:rFonts w:ascii="Times New Roman" w:eastAsia="Times New Roman" w:hAnsi="Times New Roman" w:cs="Times New Roman"/>
                <w:iCs/>
                <w:sz w:val="24"/>
                <w:szCs w:val="24"/>
                <w:lang w:eastAsia="lv-LV"/>
              </w:rPr>
              <w:t>3</w:t>
            </w:r>
            <w:r w:rsidRPr="008314B1">
              <w:rPr>
                <w:rFonts w:ascii="Times New Roman" w:eastAsia="Times New Roman" w:hAnsi="Times New Roman" w:cs="Times New Roman"/>
                <w:iCs/>
                <w:sz w:val="24"/>
                <w:szCs w:val="24"/>
                <w:lang w:eastAsia="lv-LV"/>
              </w:rPr>
              <w:t>.gadam izmaiņām, tai skaitā ieņēmumu no maksas pakalpojumiem un citiem pašu ieņēmumiem un to attiecīgo izdevumu samazināšanu turpmāk ik gadu.</w:t>
            </w:r>
          </w:p>
        </w:tc>
      </w:tr>
      <w:tr w:rsidR="000850FF" w:rsidRPr="00271FFF" w14:paraId="145858BB"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3905FD39" w14:textId="77777777" w:rsidR="000850FF" w:rsidRPr="00271FFF" w:rsidRDefault="000850FF" w:rsidP="000850FF">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6.1. detalizēts ieņēmumu aprēķins</w:t>
            </w:r>
          </w:p>
        </w:tc>
        <w:tc>
          <w:tcPr>
            <w:tcW w:w="7609" w:type="dxa"/>
            <w:gridSpan w:val="7"/>
            <w:vMerge/>
            <w:tcBorders>
              <w:top w:val="outset" w:sz="6" w:space="0" w:color="auto"/>
              <w:left w:val="outset" w:sz="6" w:space="0" w:color="auto"/>
              <w:bottom w:val="outset" w:sz="6" w:space="0" w:color="auto"/>
              <w:right w:val="outset" w:sz="6" w:space="0" w:color="auto"/>
            </w:tcBorders>
            <w:vAlign w:val="center"/>
            <w:hideMark/>
          </w:tcPr>
          <w:p w14:paraId="35D054F7" w14:textId="77777777" w:rsidR="000850FF" w:rsidRPr="00271FFF" w:rsidRDefault="000850FF" w:rsidP="000850FF">
            <w:pPr>
              <w:spacing w:after="0" w:line="240" w:lineRule="auto"/>
              <w:rPr>
                <w:rFonts w:ascii="Times New Roman" w:eastAsia="Times New Roman" w:hAnsi="Times New Roman" w:cs="Times New Roman"/>
                <w:iCs/>
                <w:sz w:val="24"/>
                <w:szCs w:val="24"/>
                <w:lang w:eastAsia="lv-LV"/>
              </w:rPr>
            </w:pPr>
          </w:p>
        </w:tc>
      </w:tr>
      <w:tr w:rsidR="000850FF" w:rsidRPr="00271FFF" w14:paraId="064A3B87"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1C50BEF9" w14:textId="77777777" w:rsidR="000850FF" w:rsidRPr="00271FFF" w:rsidRDefault="000850FF" w:rsidP="000850FF">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6.2. detalizēts izdevumu aprēķins</w:t>
            </w:r>
          </w:p>
        </w:tc>
        <w:tc>
          <w:tcPr>
            <w:tcW w:w="7609" w:type="dxa"/>
            <w:gridSpan w:val="7"/>
            <w:vMerge/>
            <w:tcBorders>
              <w:top w:val="outset" w:sz="6" w:space="0" w:color="auto"/>
              <w:left w:val="outset" w:sz="6" w:space="0" w:color="auto"/>
              <w:bottom w:val="outset" w:sz="6" w:space="0" w:color="auto"/>
              <w:right w:val="outset" w:sz="6" w:space="0" w:color="auto"/>
            </w:tcBorders>
            <w:vAlign w:val="center"/>
            <w:hideMark/>
          </w:tcPr>
          <w:p w14:paraId="60BB2368" w14:textId="77777777" w:rsidR="000850FF" w:rsidRPr="00271FFF" w:rsidRDefault="000850FF" w:rsidP="000850FF">
            <w:pPr>
              <w:spacing w:after="0" w:line="240" w:lineRule="auto"/>
              <w:rPr>
                <w:rFonts w:ascii="Times New Roman" w:eastAsia="Times New Roman" w:hAnsi="Times New Roman" w:cs="Times New Roman"/>
                <w:iCs/>
                <w:sz w:val="24"/>
                <w:szCs w:val="24"/>
                <w:lang w:eastAsia="lv-LV"/>
              </w:rPr>
            </w:pPr>
          </w:p>
        </w:tc>
      </w:tr>
      <w:tr w:rsidR="000850FF" w:rsidRPr="00271FFF" w14:paraId="5D128774" w14:textId="77777777" w:rsidTr="00630627">
        <w:trPr>
          <w:trHeight w:val="876"/>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68DA6F59" w14:textId="77777777" w:rsidR="000850FF" w:rsidRPr="00AB2E17" w:rsidRDefault="000850FF" w:rsidP="000850FF">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lastRenderedPageBreak/>
              <w:t>7. Amata vietu skaita izmaiņas</w:t>
            </w:r>
          </w:p>
          <w:p w14:paraId="1EEEAA36" w14:textId="77777777" w:rsidR="000850FF" w:rsidRPr="009E39C4" w:rsidRDefault="000850FF" w:rsidP="000850FF">
            <w:pPr>
              <w:jc w:val="center"/>
              <w:rPr>
                <w:rFonts w:ascii="Times New Roman" w:eastAsia="Times New Roman" w:hAnsi="Times New Roman" w:cs="Times New Roman"/>
                <w:sz w:val="24"/>
                <w:szCs w:val="24"/>
                <w:lang w:eastAsia="lv-LV"/>
              </w:rPr>
            </w:pPr>
          </w:p>
        </w:tc>
        <w:tc>
          <w:tcPr>
            <w:tcW w:w="7609" w:type="dxa"/>
            <w:gridSpan w:val="7"/>
            <w:tcBorders>
              <w:top w:val="outset" w:sz="6" w:space="0" w:color="auto"/>
              <w:left w:val="outset" w:sz="6" w:space="0" w:color="auto"/>
              <w:bottom w:val="outset" w:sz="6" w:space="0" w:color="auto"/>
              <w:right w:val="outset" w:sz="6" w:space="0" w:color="auto"/>
            </w:tcBorders>
            <w:hideMark/>
          </w:tcPr>
          <w:p w14:paraId="45049D47" w14:textId="2591E55A" w:rsidR="000850FF" w:rsidRPr="00AB2E17" w:rsidRDefault="009E1D14" w:rsidP="000850F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0850FF" w:rsidRPr="00EF6C56" w14:paraId="5485DEFE" w14:textId="77777777" w:rsidTr="00630627">
        <w:trPr>
          <w:tblCellSpacing w:w="15" w:type="dxa"/>
          <w:jc w:val="center"/>
        </w:trPr>
        <w:tc>
          <w:tcPr>
            <w:tcW w:w="1941" w:type="dxa"/>
            <w:tcBorders>
              <w:top w:val="outset" w:sz="6" w:space="0" w:color="auto"/>
              <w:left w:val="outset" w:sz="6" w:space="0" w:color="auto"/>
              <w:bottom w:val="outset" w:sz="6" w:space="0" w:color="auto"/>
              <w:right w:val="outset" w:sz="6" w:space="0" w:color="auto"/>
            </w:tcBorders>
            <w:hideMark/>
          </w:tcPr>
          <w:p w14:paraId="2AE3651A" w14:textId="77777777" w:rsidR="000850FF" w:rsidRPr="00271FFF" w:rsidRDefault="000850FF" w:rsidP="000850FF">
            <w:pPr>
              <w:spacing w:after="0" w:line="240" w:lineRule="auto"/>
              <w:rPr>
                <w:rFonts w:ascii="Times New Roman" w:eastAsia="Times New Roman" w:hAnsi="Times New Roman" w:cs="Times New Roman"/>
                <w:iCs/>
                <w:sz w:val="24"/>
                <w:szCs w:val="24"/>
                <w:lang w:eastAsia="lv-LV"/>
              </w:rPr>
            </w:pPr>
            <w:r w:rsidRPr="00271FFF">
              <w:rPr>
                <w:rFonts w:ascii="Times New Roman" w:eastAsia="Times New Roman" w:hAnsi="Times New Roman" w:cs="Times New Roman"/>
                <w:iCs/>
                <w:sz w:val="24"/>
                <w:szCs w:val="24"/>
                <w:lang w:eastAsia="lv-LV"/>
              </w:rPr>
              <w:t>8. Cita informācija</w:t>
            </w:r>
          </w:p>
        </w:tc>
        <w:tc>
          <w:tcPr>
            <w:tcW w:w="7609" w:type="dxa"/>
            <w:gridSpan w:val="7"/>
            <w:tcBorders>
              <w:top w:val="outset" w:sz="6" w:space="0" w:color="auto"/>
              <w:left w:val="outset" w:sz="6" w:space="0" w:color="auto"/>
              <w:bottom w:val="outset" w:sz="6" w:space="0" w:color="auto"/>
              <w:right w:val="outset" w:sz="6" w:space="0" w:color="auto"/>
            </w:tcBorders>
            <w:hideMark/>
          </w:tcPr>
          <w:p w14:paraId="70AA68DD" w14:textId="1F0A0D55" w:rsidR="000850FF" w:rsidRPr="003D7B43" w:rsidRDefault="009E1D14" w:rsidP="000850F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2EC8A817" w14:textId="77777777" w:rsidR="007723BA" w:rsidRDefault="007723BA" w:rsidP="007723BA">
      <w:pPr>
        <w:shd w:val="clear" w:color="auto" w:fill="FFFFFF"/>
        <w:spacing w:after="0" w:line="240" w:lineRule="auto"/>
        <w:rPr>
          <w:rFonts w:ascii="Times New Roman" w:eastAsia="Times New Roman" w:hAnsi="Times New Roman" w:cs="Times New Roman"/>
          <w:color w:val="414142"/>
          <w:sz w:val="24"/>
          <w:szCs w:val="24"/>
          <w:lang w:eastAsia="lv-LV"/>
        </w:rPr>
      </w:pPr>
    </w:p>
    <w:tbl>
      <w:tblPr>
        <w:tblW w:w="5323" w:type="pct"/>
        <w:tblInd w:w="-292"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9"/>
        <w:gridCol w:w="2693"/>
        <w:gridCol w:w="6378"/>
      </w:tblGrid>
      <w:tr w:rsidR="007723BA" w:rsidRPr="003429ED" w14:paraId="125A79A9" w14:textId="77777777" w:rsidTr="00630627">
        <w:trPr>
          <w:trHeight w:val="44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2E550D2" w14:textId="77777777" w:rsidR="007723BA" w:rsidRPr="001B331F" w:rsidRDefault="007723BA" w:rsidP="00630627">
            <w:pPr>
              <w:jc w:val="center"/>
              <w:rPr>
                <w:rFonts w:ascii="Times New Roman" w:eastAsia="Times New Roman" w:hAnsi="Times New Roman" w:cs="Times New Roman"/>
                <w:sz w:val="24"/>
                <w:szCs w:val="24"/>
                <w:lang w:eastAsia="lv-LV"/>
              </w:rPr>
            </w:pPr>
            <w:r w:rsidRPr="003429ED">
              <w:rPr>
                <w:rFonts w:ascii="Times New Roman" w:eastAsia="Times New Roman" w:hAnsi="Times New Roman" w:cs="Times New Roman"/>
                <w:b/>
                <w:bCs/>
                <w:sz w:val="24"/>
                <w:szCs w:val="24"/>
                <w:lang w:eastAsia="lv-LV"/>
              </w:rPr>
              <w:t>I</w:t>
            </w:r>
            <w:r>
              <w:rPr>
                <w:rFonts w:ascii="Times New Roman" w:eastAsia="Times New Roman" w:hAnsi="Times New Roman" w:cs="Times New Roman"/>
                <w:b/>
                <w:bCs/>
                <w:sz w:val="24"/>
                <w:szCs w:val="24"/>
                <w:lang w:eastAsia="lv-LV"/>
              </w:rPr>
              <w:t>V</w:t>
            </w:r>
            <w:r w:rsidRPr="003429ED">
              <w:rPr>
                <w:rFonts w:ascii="Times New Roman" w:eastAsia="Times New Roman" w:hAnsi="Times New Roman" w:cs="Times New Roman"/>
                <w:b/>
                <w:bCs/>
                <w:sz w:val="24"/>
                <w:szCs w:val="24"/>
                <w:lang w:eastAsia="lv-LV"/>
              </w:rPr>
              <w:t>. </w:t>
            </w:r>
            <w:r>
              <w:rPr>
                <w:rFonts w:ascii="Times New Roman" w:eastAsia="Times New Roman" w:hAnsi="Times New Roman" w:cs="Times New Roman"/>
                <w:b/>
                <w:bCs/>
                <w:sz w:val="24"/>
                <w:szCs w:val="24"/>
                <w:lang w:eastAsia="lv-LV"/>
              </w:rPr>
              <w:t>T</w:t>
            </w:r>
            <w:r w:rsidRPr="00C040DE">
              <w:rPr>
                <w:rFonts w:ascii="Times New Roman" w:eastAsia="Times New Roman" w:hAnsi="Times New Roman" w:cs="Times New Roman"/>
                <w:b/>
                <w:bCs/>
                <w:sz w:val="24"/>
                <w:szCs w:val="24"/>
                <w:lang w:eastAsia="lv-LV"/>
              </w:rPr>
              <w:t>iesību akta projekta ietekme uz spēkā esošo tiesību normu sistēmu</w:t>
            </w:r>
          </w:p>
        </w:tc>
      </w:tr>
      <w:tr w:rsidR="007723BA" w:rsidRPr="003429ED" w14:paraId="2A5C82F8" w14:textId="77777777" w:rsidTr="00630627">
        <w:trPr>
          <w:trHeight w:val="372"/>
        </w:trPr>
        <w:tc>
          <w:tcPr>
            <w:tcW w:w="295" w:type="pct"/>
            <w:tcBorders>
              <w:top w:val="outset" w:sz="6" w:space="0" w:color="414142"/>
              <w:left w:val="outset" w:sz="6" w:space="0" w:color="414142"/>
              <w:bottom w:val="outset" w:sz="6" w:space="0" w:color="414142"/>
              <w:right w:val="outset" w:sz="6" w:space="0" w:color="414142"/>
            </w:tcBorders>
            <w:hideMark/>
          </w:tcPr>
          <w:p w14:paraId="33F9F50E"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1.</w:t>
            </w:r>
          </w:p>
        </w:tc>
        <w:tc>
          <w:tcPr>
            <w:tcW w:w="1397" w:type="pct"/>
            <w:tcBorders>
              <w:top w:val="outset" w:sz="6" w:space="0" w:color="414142"/>
              <w:left w:val="outset" w:sz="6" w:space="0" w:color="414142"/>
              <w:bottom w:val="outset" w:sz="6" w:space="0" w:color="414142"/>
              <w:right w:val="outset" w:sz="6" w:space="0" w:color="414142"/>
            </w:tcBorders>
          </w:tcPr>
          <w:p w14:paraId="173AD774" w14:textId="77777777" w:rsidR="007723BA" w:rsidRPr="00C040DE" w:rsidRDefault="007723BA" w:rsidP="00630627">
            <w:pPr>
              <w:spacing w:after="0" w:line="240" w:lineRule="auto"/>
              <w:rPr>
                <w:rFonts w:ascii="Times New Roman" w:eastAsia="Times New Roman" w:hAnsi="Times New Roman" w:cs="Times New Roman"/>
                <w:sz w:val="24"/>
                <w:szCs w:val="24"/>
                <w:lang w:eastAsia="lv-LV"/>
              </w:rPr>
            </w:pPr>
            <w:r w:rsidRPr="00C040DE">
              <w:rPr>
                <w:rFonts w:ascii="Times New Roman" w:eastAsia="Times New Roman" w:hAnsi="Times New Roman" w:cs="Times New Roman"/>
                <w:iCs/>
                <w:sz w:val="24"/>
                <w:szCs w:val="24"/>
                <w:lang w:eastAsia="lv-LV"/>
              </w:rPr>
              <w:t>Saistītie tiesību aktu projekti</w:t>
            </w:r>
          </w:p>
        </w:tc>
        <w:tc>
          <w:tcPr>
            <w:tcW w:w="3308" w:type="pct"/>
            <w:tcBorders>
              <w:top w:val="outset" w:sz="6" w:space="0" w:color="414142"/>
              <w:left w:val="outset" w:sz="6" w:space="0" w:color="414142"/>
              <w:bottom w:val="outset" w:sz="6" w:space="0" w:color="414142"/>
              <w:right w:val="outset" w:sz="6" w:space="0" w:color="414142"/>
            </w:tcBorders>
          </w:tcPr>
          <w:p w14:paraId="5E76F4C7" w14:textId="7CA58A9D" w:rsidR="002A51DD" w:rsidRPr="000D5765" w:rsidRDefault="00C87FB8" w:rsidP="00294146">
            <w:pPr>
              <w:spacing w:after="0" w:line="240" w:lineRule="auto"/>
              <w:jc w:val="both"/>
              <w:rPr>
                <w:rFonts w:ascii="Times New Roman" w:hAnsi="Times New Roman" w:cs="Times New Roman"/>
                <w:color w:val="000000" w:themeColor="text1"/>
                <w:sz w:val="24"/>
                <w:szCs w:val="24"/>
                <w:shd w:val="clear" w:color="auto" w:fill="FFFFFF"/>
              </w:rPr>
            </w:pPr>
            <w:r w:rsidRPr="000D5765">
              <w:rPr>
                <w:rFonts w:ascii="Times New Roman" w:hAnsi="Times New Roman" w:cs="Times New Roman"/>
                <w:color w:val="000000" w:themeColor="text1"/>
                <w:sz w:val="24"/>
                <w:szCs w:val="24"/>
                <w:shd w:val="clear" w:color="auto" w:fill="FFFFFF"/>
              </w:rPr>
              <w:t>Ministru kabineta noteikumu projekts “ Noteikumi par zāļu  klīniskā pētījuma veikšanas kārtību un kārtību, kādā tiek vērtēta zāļu klīniskās pārbaudes atbilstība labas klīniskās prakses prasībām”</w:t>
            </w:r>
            <w:r w:rsidR="0022163B" w:rsidRPr="000D5765">
              <w:rPr>
                <w:rFonts w:ascii="Times New Roman" w:hAnsi="Times New Roman" w:cs="Times New Roman"/>
                <w:color w:val="000000" w:themeColor="text1"/>
                <w:sz w:val="24"/>
                <w:szCs w:val="24"/>
                <w:shd w:val="clear" w:color="auto" w:fill="FFFFFF"/>
              </w:rPr>
              <w:t xml:space="preserve"> </w:t>
            </w:r>
            <w:r w:rsidR="002A51DD" w:rsidRPr="000D5765">
              <w:rPr>
                <w:rFonts w:ascii="Times New Roman" w:hAnsi="Times New Roman" w:cs="Times New Roman"/>
                <w:sz w:val="24"/>
                <w:szCs w:val="24"/>
              </w:rPr>
              <w:t>saistībā ar klīniskā pētījuma pieteikuma dokumentācijas izskatīšanu klīniskā pētījuma atļaujas saņemšanai.</w:t>
            </w:r>
          </w:p>
          <w:p w14:paraId="3A889E80" w14:textId="289104EE" w:rsidR="00294146" w:rsidRPr="009E1D14" w:rsidRDefault="008D71C2" w:rsidP="00294146">
            <w:pPr>
              <w:spacing w:after="0" w:line="240" w:lineRule="auto"/>
              <w:jc w:val="both"/>
              <w:rPr>
                <w:rFonts w:ascii="Times New Roman" w:eastAsia="Times New Roman" w:hAnsi="Times New Roman" w:cs="Times New Roman"/>
                <w:vanish/>
                <w:sz w:val="24"/>
                <w:szCs w:val="24"/>
                <w:lang w:eastAsia="lv-LV"/>
              </w:rPr>
            </w:pPr>
            <w:r>
              <w:rPr>
                <w:rFonts w:ascii="Times New Roman" w:hAnsi="Times New Roman" w:cs="Times New Roman"/>
                <w:sz w:val="24"/>
                <w:szCs w:val="24"/>
              </w:rPr>
              <w:t xml:space="preserve"> </w:t>
            </w:r>
          </w:p>
          <w:p w14:paraId="44BB89DA" w14:textId="34F26935" w:rsidR="00B47576" w:rsidRDefault="00B47576" w:rsidP="00630627">
            <w:pPr>
              <w:spacing w:after="0" w:line="240" w:lineRule="auto"/>
              <w:jc w:val="both"/>
              <w:rPr>
                <w:rFonts w:ascii="Times New Roman" w:hAnsi="Times New Roman" w:cs="Times New Roman"/>
                <w:sz w:val="24"/>
                <w:szCs w:val="24"/>
              </w:rPr>
            </w:pPr>
          </w:p>
          <w:p w14:paraId="24FA1DF8" w14:textId="6E125CF9" w:rsidR="00A74F69" w:rsidRPr="000D5765" w:rsidRDefault="00EA2EDF" w:rsidP="00630627">
            <w:pPr>
              <w:spacing w:after="0" w:line="240" w:lineRule="auto"/>
              <w:jc w:val="both"/>
              <w:rPr>
                <w:rFonts w:ascii="Times New Roman" w:eastAsia="Times New Roman" w:hAnsi="Times New Roman" w:cs="Times New Roman"/>
                <w:bCs/>
                <w:sz w:val="24"/>
                <w:szCs w:val="24"/>
                <w:lang w:eastAsia="lv-LV"/>
              </w:rPr>
            </w:pPr>
            <w:r w:rsidRPr="000D5765">
              <w:rPr>
                <w:rFonts w:ascii="Times New Roman" w:eastAsia="Times New Roman" w:hAnsi="Times New Roman" w:cs="Times New Roman"/>
                <w:bCs/>
                <w:sz w:val="24"/>
                <w:szCs w:val="24"/>
                <w:lang w:eastAsia="lv-LV"/>
              </w:rPr>
              <w:t>Ministru kabineta noteikumu projekts “Medicīnisko ierīču reģistrācijas, atbilstības novērtēšanas, izplatīšanas, ekspluatācijas un tehniskās uzraudzības kārtība</w:t>
            </w:r>
            <w:r w:rsidR="00C87FB8" w:rsidRPr="000D5765">
              <w:rPr>
                <w:rFonts w:ascii="Times New Roman" w:eastAsia="Times New Roman" w:hAnsi="Times New Roman" w:cs="Times New Roman"/>
                <w:bCs/>
                <w:sz w:val="24"/>
                <w:szCs w:val="24"/>
                <w:lang w:eastAsia="lv-LV"/>
              </w:rPr>
              <w:t>”</w:t>
            </w:r>
            <w:r w:rsidRPr="000D5765">
              <w:rPr>
                <w:rFonts w:ascii="Times New Roman" w:eastAsia="Times New Roman" w:hAnsi="Times New Roman" w:cs="Times New Roman"/>
                <w:bCs/>
                <w:sz w:val="24"/>
                <w:szCs w:val="24"/>
                <w:lang w:eastAsia="lv-LV"/>
              </w:rPr>
              <w:t xml:space="preserve"> </w:t>
            </w:r>
            <w:r w:rsidR="004F1426" w:rsidRPr="000D5765">
              <w:rPr>
                <w:rFonts w:ascii="Times New Roman" w:eastAsia="Times New Roman" w:hAnsi="Times New Roman" w:cs="Times New Roman"/>
                <w:bCs/>
                <w:sz w:val="24"/>
                <w:szCs w:val="24"/>
                <w:lang w:eastAsia="lv-LV"/>
              </w:rPr>
              <w:t>saistībā ar iesnieguma un  dokumentācijas</w:t>
            </w:r>
            <w:r w:rsidRPr="000D5765">
              <w:rPr>
                <w:rFonts w:ascii="Times New Roman" w:eastAsia="Times New Roman" w:hAnsi="Times New Roman" w:cs="Times New Roman"/>
                <w:bCs/>
                <w:sz w:val="24"/>
                <w:szCs w:val="24"/>
                <w:lang w:eastAsia="lv-LV"/>
              </w:rPr>
              <w:t>, ko paredz</w:t>
            </w:r>
            <w:r w:rsidR="002A51DD" w:rsidRPr="000D5765">
              <w:rPr>
                <w:rFonts w:ascii="Times New Roman" w:eastAsia="Times New Roman" w:hAnsi="Times New Roman" w:cs="Times New Roman"/>
                <w:bCs/>
                <w:sz w:val="24"/>
                <w:szCs w:val="24"/>
                <w:lang w:eastAsia="lv-LV"/>
              </w:rPr>
              <w:t xml:space="preserve"> </w:t>
            </w:r>
            <w:r w:rsidR="0019523C" w:rsidRPr="000D5765">
              <w:rPr>
                <w:rFonts w:ascii="Times New Roman" w:eastAsia="Times New Roman" w:hAnsi="Times New Roman" w:cs="Times New Roman"/>
                <w:bCs/>
                <w:sz w:val="24"/>
                <w:szCs w:val="24"/>
                <w:lang w:eastAsia="lv-LV"/>
              </w:rPr>
              <w:t>regul</w:t>
            </w:r>
            <w:r w:rsidRPr="000D5765">
              <w:rPr>
                <w:rFonts w:ascii="Times New Roman" w:eastAsia="Times New Roman" w:hAnsi="Times New Roman" w:cs="Times New Roman"/>
                <w:bCs/>
                <w:sz w:val="24"/>
                <w:szCs w:val="24"/>
                <w:lang w:eastAsia="lv-LV"/>
              </w:rPr>
              <w:t>a</w:t>
            </w:r>
            <w:r w:rsidR="0019523C" w:rsidRPr="000D5765">
              <w:rPr>
                <w:rFonts w:ascii="Times New Roman" w:eastAsia="Times New Roman" w:hAnsi="Times New Roman" w:cs="Times New Roman"/>
                <w:bCs/>
                <w:sz w:val="24"/>
                <w:szCs w:val="24"/>
                <w:lang w:eastAsia="lv-LV"/>
              </w:rPr>
              <w:t xml:space="preserve"> 2017/745</w:t>
            </w:r>
            <w:r w:rsidRPr="000D5765">
              <w:rPr>
                <w:rFonts w:ascii="Times New Roman" w:eastAsia="Times New Roman" w:hAnsi="Times New Roman" w:cs="Times New Roman"/>
                <w:bCs/>
                <w:sz w:val="24"/>
                <w:szCs w:val="24"/>
                <w:lang w:eastAsia="lv-LV"/>
              </w:rPr>
              <w:t>,</w:t>
            </w:r>
            <w:r w:rsidR="0019523C" w:rsidRPr="000D5765">
              <w:rPr>
                <w:rFonts w:ascii="Times New Roman" w:eastAsia="Times New Roman" w:hAnsi="Times New Roman" w:cs="Times New Roman"/>
                <w:bCs/>
                <w:sz w:val="24"/>
                <w:szCs w:val="24"/>
                <w:lang w:eastAsia="lv-LV"/>
              </w:rPr>
              <w:t xml:space="preserve"> noteikto, ka dalībvalstis par</w:t>
            </w:r>
            <w:r w:rsidR="006F1CC9" w:rsidRPr="000D5765">
              <w:rPr>
                <w:rFonts w:ascii="Times New Roman" w:eastAsia="Times New Roman" w:hAnsi="Times New Roman" w:cs="Times New Roman"/>
                <w:bCs/>
                <w:sz w:val="24"/>
                <w:szCs w:val="24"/>
                <w:lang w:eastAsia="lv-LV"/>
              </w:rPr>
              <w:t xml:space="preserve"> regulā izklāstītajām</w:t>
            </w:r>
            <w:r w:rsidR="0019523C" w:rsidRPr="000D5765">
              <w:rPr>
                <w:rFonts w:ascii="Times New Roman" w:eastAsia="Times New Roman" w:hAnsi="Times New Roman" w:cs="Times New Roman"/>
                <w:bCs/>
                <w:sz w:val="24"/>
                <w:szCs w:val="24"/>
                <w:lang w:eastAsia="lv-LV"/>
              </w:rPr>
              <w:t xml:space="preserve"> darbībām iekasē maksu, ar noteikumu, ka maksas apmērs ir noteikts pārredzami un tā pamatā ir izmaksu atgūšanas princips</w:t>
            </w:r>
            <w:r w:rsidR="00605298" w:rsidRPr="000D5765">
              <w:rPr>
                <w:rFonts w:ascii="Times New Roman" w:eastAsia="Times New Roman" w:hAnsi="Times New Roman" w:cs="Times New Roman"/>
                <w:bCs/>
                <w:sz w:val="24"/>
                <w:szCs w:val="24"/>
                <w:lang w:eastAsia="lv-LV"/>
              </w:rPr>
              <w:t xml:space="preserve"> (informācija par sabiedrisko apspriedi publicēta VM tīmekļa vietnē </w:t>
            </w:r>
            <w:r w:rsidR="00CF39FF">
              <w:rPr>
                <w:rFonts w:ascii="Times New Roman" w:eastAsia="Times New Roman" w:hAnsi="Times New Roman" w:cs="Times New Roman"/>
                <w:bCs/>
                <w:sz w:val="24"/>
                <w:szCs w:val="24"/>
                <w:lang w:eastAsia="lv-LV"/>
              </w:rPr>
              <w:t>2021. gada 9.martā</w:t>
            </w:r>
            <w:r w:rsidR="00605298" w:rsidRPr="000D5765">
              <w:rPr>
                <w:rFonts w:ascii="Times New Roman" w:eastAsia="Times New Roman" w:hAnsi="Times New Roman" w:cs="Times New Roman"/>
                <w:bCs/>
                <w:sz w:val="24"/>
                <w:szCs w:val="24"/>
                <w:lang w:eastAsia="lv-LV"/>
              </w:rPr>
              <w:t>)</w:t>
            </w:r>
            <w:r w:rsidR="006F1CC9" w:rsidRPr="000D5765">
              <w:rPr>
                <w:rFonts w:ascii="Times New Roman" w:eastAsia="Times New Roman" w:hAnsi="Times New Roman" w:cs="Times New Roman"/>
                <w:bCs/>
                <w:sz w:val="24"/>
                <w:szCs w:val="24"/>
                <w:lang w:eastAsia="lv-LV"/>
              </w:rPr>
              <w:t>.</w:t>
            </w:r>
          </w:p>
        </w:tc>
      </w:tr>
      <w:tr w:rsidR="007723BA" w:rsidRPr="003429ED" w14:paraId="7E67A2D0" w14:textId="77777777" w:rsidTr="00630627">
        <w:trPr>
          <w:trHeight w:val="408"/>
        </w:trPr>
        <w:tc>
          <w:tcPr>
            <w:tcW w:w="295" w:type="pct"/>
            <w:tcBorders>
              <w:top w:val="outset" w:sz="6" w:space="0" w:color="414142"/>
              <w:left w:val="outset" w:sz="6" w:space="0" w:color="414142"/>
              <w:bottom w:val="outset" w:sz="6" w:space="0" w:color="414142"/>
              <w:right w:val="outset" w:sz="6" w:space="0" w:color="414142"/>
            </w:tcBorders>
            <w:hideMark/>
          </w:tcPr>
          <w:p w14:paraId="3A192FB2"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2.</w:t>
            </w:r>
          </w:p>
        </w:tc>
        <w:tc>
          <w:tcPr>
            <w:tcW w:w="1397" w:type="pct"/>
            <w:tcBorders>
              <w:top w:val="outset" w:sz="6" w:space="0" w:color="414142"/>
              <w:left w:val="outset" w:sz="6" w:space="0" w:color="414142"/>
              <w:bottom w:val="outset" w:sz="6" w:space="0" w:color="414142"/>
              <w:right w:val="outset" w:sz="6" w:space="0" w:color="414142"/>
            </w:tcBorders>
          </w:tcPr>
          <w:p w14:paraId="7347A411"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C040DE">
              <w:rPr>
                <w:rFonts w:ascii="Times New Roman" w:eastAsia="Times New Roman" w:hAnsi="Times New Roman" w:cs="Times New Roman"/>
                <w:sz w:val="24"/>
                <w:szCs w:val="24"/>
                <w:lang w:eastAsia="lv-LV"/>
              </w:rPr>
              <w:t>Atbildīgā institūcija</w:t>
            </w:r>
          </w:p>
        </w:tc>
        <w:tc>
          <w:tcPr>
            <w:tcW w:w="3308" w:type="pct"/>
            <w:tcBorders>
              <w:top w:val="outset" w:sz="6" w:space="0" w:color="414142"/>
              <w:left w:val="outset" w:sz="6" w:space="0" w:color="414142"/>
              <w:bottom w:val="outset" w:sz="6" w:space="0" w:color="414142"/>
              <w:right w:val="outset" w:sz="6" w:space="0" w:color="414142"/>
            </w:tcBorders>
          </w:tcPr>
          <w:p w14:paraId="1E6E094D" w14:textId="77777777" w:rsidR="007723BA" w:rsidRPr="00C040DE" w:rsidRDefault="007723BA" w:rsidP="00630627">
            <w:pPr>
              <w:spacing w:after="0" w:line="240" w:lineRule="auto"/>
              <w:jc w:val="both"/>
              <w:rPr>
                <w:rFonts w:ascii="Times New Roman" w:eastAsia="Times New Roman" w:hAnsi="Times New Roman" w:cs="Times New Roman"/>
                <w:sz w:val="24"/>
                <w:szCs w:val="24"/>
                <w:lang w:eastAsia="lv-LV"/>
              </w:rPr>
            </w:pPr>
            <w:r w:rsidRPr="00C040DE">
              <w:rPr>
                <w:rFonts w:ascii="Times New Roman" w:eastAsia="Times New Roman" w:hAnsi="Times New Roman" w:cs="Times New Roman"/>
                <w:iCs/>
                <w:sz w:val="24"/>
                <w:szCs w:val="24"/>
                <w:lang w:eastAsia="lv-LV"/>
              </w:rPr>
              <w:t>Veselības ministrija</w:t>
            </w:r>
          </w:p>
        </w:tc>
      </w:tr>
      <w:tr w:rsidR="007723BA" w:rsidRPr="003429ED" w14:paraId="542A56C5" w14:textId="77777777" w:rsidTr="00630627">
        <w:trPr>
          <w:trHeight w:val="408"/>
        </w:trPr>
        <w:tc>
          <w:tcPr>
            <w:tcW w:w="295" w:type="pct"/>
            <w:tcBorders>
              <w:top w:val="outset" w:sz="6" w:space="0" w:color="414142"/>
              <w:left w:val="outset" w:sz="6" w:space="0" w:color="414142"/>
              <w:bottom w:val="outset" w:sz="6" w:space="0" w:color="414142"/>
              <w:right w:val="outset" w:sz="6" w:space="0" w:color="414142"/>
            </w:tcBorders>
            <w:hideMark/>
          </w:tcPr>
          <w:p w14:paraId="68DE0F94"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3.</w:t>
            </w:r>
          </w:p>
        </w:tc>
        <w:tc>
          <w:tcPr>
            <w:tcW w:w="1397" w:type="pct"/>
            <w:tcBorders>
              <w:top w:val="outset" w:sz="6" w:space="0" w:color="414142"/>
              <w:left w:val="outset" w:sz="6" w:space="0" w:color="414142"/>
              <w:bottom w:val="outset" w:sz="6" w:space="0" w:color="414142"/>
              <w:right w:val="outset" w:sz="6" w:space="0" w:color="414142"/>
            </w:tcBorders>
          </w:tcPr>
          <w:p w14:paraId="2A089116"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C040DE">
              <w:rPr>
                <w:rFonts w:ascii="Times New Roman" w:eastAsia="Times New Roman" w:hAnsi="Times New Roman" w:cs="Times New Roman"/>
                <w:sz w:val="24"/>
                <w:szCs w:val="24"/>
                <w:lang w:eastAsia="lv-LV"/>
              </w:rPr>
              <w:t>Cita informācija</w:t>
            </w:r>
          </w:p>
        </w:tc>
        <w:tc>
          <w:tcPr>
            <w:tcW w:w="3308" w:type="pct"/>
            <w:tcBorders>
              <w:top w:val="outset" w:sz="6" w:space="0" w:color="414142"/>
              <w:left w:val="outset" w:sz="6" w:space="0" w:color="414142"/>
              <w:bottom w:val="outset" w:sz="6" w:space="0" w:color="414142"/>
              <w:right w:val="outset" w:sz="6" w:space="0" w:color="414142"/>
            </w:tcBorders>
          </w:tcPr>
          <w:p w14:paraId="25B2B72F" w14:textId="77777777" w:rsidR="007723BA" w:rsidRPr="00C040DE" w:rsidRDefault="007723BA" w:rsidP="00630627">
            <w:pPr>
              <w:spacing w:after="0" w:line="240" w:lineRule="auto"/>
              <w:jc w:val="both"/>
              <w:rPr>
                <w:rFonts w:ascii="Times New Roman" w:eastAsia="Times New Roman" w:hAnsi="Times New Roman" w:cs="Times New Roman"/>
                <w:sz w:val="24"/>
                <w:szCs w:val="24"/>
                <w:lang w:eastAsia="lv-LV"/>
              </w:rPr>
            </w:pPr>
            <w:r w:rsidRPr="00C040DE">
              <w:rPr>
                <w:rFonts w:ascii="Times New Roman" w:eastAsia="Times New Roman" w:hAnsi="Times New Roman" w:cs="Times New Roman"/>
                <w:iCs/>
                <w:sz w:val="24"/>
                <w:szCs w:val="24"/>
                <w:lang w:eastAsia="lv-LV"/>
              </w:rPr>
              <w:t>Nav</w:t>
            </w:r>
          </w:p>
        </w:tc>
      </w:tr>
    </w:tbl>
    <w:p w14:paraId="774FB574" w14:textId="77777777" w:rsidR="007723BA" w:rsidRDefault="007723BA" w:rsidP="007723BA">
      <w:pPr>
        <w:shd w:val="clear" w:color="auto" w:fill="FFFFFF"/>
        <w:spacing w:after="0" w:line="240" w:lineRule="auto"/>
        <w:rPr>
          <w:rFonts w:ascii="Times New Roman" w:eastAsia="Times New Roman" w:hAnsi="Times New Roman" w:cs="Times New Roman"/>
          <w:color w:val="414142"/>
          <w:sz w:val="24"/>
          <w:szCs w:val="24"/>
          <w:lang w:eastAsia="lv-LV"/>
        </w:rPr>
      </w:pPr>
    </w:p>
    <w:tbl>
      <w:tblPr>
        <w:tblW w:w="5323" w:type="pct"/>
        <w:tblCellSpacing w:w="15" w:type="dxa"/>
        <w:tblInd w:w="-292"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820"/>
        <w:gridCol w:w="1592"/>
        <w:gridCol w:w="1201"/>
        <w:gridCol w:w="919"/>
        <w:gridCol w:w="2034"/>
        <w:gridCol w:w="3080"/>
      </w:tblGrid>
      <w:tr w:rsidR="000C3BE5" w:rsidRPr="000C3BE5" w14:paraId="07708703" w14:textId="77777777" w:rsidTr="00164518">
        <w:trPr>
          <w:tblCellSpacing w:w="15" w:type="dxa"/>
        </w:trPr>
        <w:tc>
          <w:tcPr>
            <w:tcW w:w="496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F7D9EF" w14:textId="77777777" w:rsidR="000C3BE5" w:rsidRPr="00164518" w:rsidRDefault="000C3BE5" w:rsidP="000C3BE5">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164518">
              <w:rPr>
                <w:rFonts w:ascii="Times New Roman" w:eastAsia="Times New Roman" w:hAnsi="Times New Roman" w:cs="Times New Roman"/>
                <w:b/>
                <w:bCs/>
                <w:sz w:val="24"/>
                <w:szCs w:val="24"/>
                <w:lang w:eastAsia="lv-LV"/>
              </w:rPr>
              <w:t>V. Tiesību akta projekta atbilstība Latvijas Republikas starptautiskajām saistībām</w:t>
            </w:r>
          </w:p>
        </w:tc>
      </w:tr>
      <w:tr w:rsidR="00C33DB9" w:rsidRPr="000C3BE5" w14:paraId="3A5C77A5" w14:textId="77777777" w:rsidTr="00164518">
        <w:trPr>
          <w:tblCellSpacing w:w="15" w:type="dxa"/>
        </w:trPr>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F821C3" w14:textId="77777777" w:rsidR="000C3BE5" w:rsidRPr="00164518" w:rsidRDefault="000C3BE5" w:rsidP="000C3BE5">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164518">
              <w:rPr>
                <w:rFonts w:ascii="Times New Roman" w:eastAsia="Times New Roman" w:hAnsi="Times New Roman" w:cs="Times New Roman"/>
                <w:b/>
                <w:bCs/>
                <w:sz w:val="24"/>
                <w:szCs w:val="24"/>
                <w:lang w:eastAsia="lv-LV"/>
              </w:rPr>
              <w:lastRenderedPageBreak/>
              <w:t>1.</w:t>
            </w:r>
          </w:p>
        </w:tc>
        <w:tc>
          <w:tcPr>
            <w:tcW w:w="144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433D4A4" w14:textId="77777777" w:rsidR="000C3BE5" w:rsidRPr="00164518" w:rsidRDefault="000C3BE5" w:rsidP="000C3BE5">
            <w:pPr>
              <w:spacing w:after="0" w:line="240" w:lineRule="auto"/>
              <w:rPr>
                <w:rFonts w:ascii="Times New Roman" w:eastAsia="Times New Roman" w:hAnsi="Times New Roman" w:cs="Times New Roman"/>
                <w:b/>
                <w:bCs/>
                <w:sz w:val="24"/>
                <w:szCs w:val="24"/>
                <w:lang w:eastAsia="lv-LV"/>
              </w:rPr>
            </w:pPr>
            <w:r w:rsidRPr="00164518">
              <w:rPr>
                <w:rFonts w:ascii="Times New Roman" w:eastAsia="Times New Roman" w:hAnsi="Times New Roman" w:cs="Times New Roman"/>
                <w:b/>
                <w:bCs/>
                <w:sz w:val="24"/>
                <w:szCs w:val="24"/>
                <w:lang w:eastAsia="lv-LV"/>
              </w:rPr>
              <w:t>Saistības pret Eiropas Savienību</w:t>
            </w:r>
          </w:p>
        </w:tc>
        <w:tc>
          <w:tcPr>
            <w:tcW w:w="309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13DCB" w14:textId="6DCC6807" w:rsidR="000C3BE5" w:rsidRPr="000D5765" w:rsidRDefault="00C33DB9" w:rsidP="000C3BE5">
            <w:pPr>
              <w:spacing w:after="0" w:line="240" w:lineRule="auto"/>
              <w:rPr>
                <w:rFonts w:ascii="Times New Roman" w:eastAsia="Times New Roman" w:hAnsi="Times New Roman" w:cs="Times New Roman"/>
                <w:sz w:val="24"/>
                <w:szCs w:val="24"/>
                <w:lang w:eastAsia="lv-LV"/>
              </w:rPr>
            </w:pPr>
            <w:r w:rsidRPr="000D5765">
              <w:rPr>
                <w:rFonts w:ascii="Times New Roman" w:eastAsia="Times New Roman" w:hAnsi="Times New Roman" w:cs="Times New Roman"/>
                <w:sz w:val="24"/>
                <w:szCs w:val="24"/>
                <w:lang w:eastAsia="lv-LV"/>
              </w:rPr>
              <w:t>Eiropas Parlamenta un Padomes Regula (ES) 2017/745 2017.gada 5.aprīļa regula, kas attiecas uz medicīniskām ierīcēm, ar ko groza Direktīvu 2001/83/EK, Regulu (EK) Nr. 178/2002 un Regulu (EK) Nr. 1223/2009 un atceļ Padomes Direktīvas 90/385/EK un 93/42/EEK</w:t>
            </w:r>
          </w:p>
        </w:tc>
      </w:tr>
      <w:tr w:rsidR="00C33DB9" w:rsidRPr="000C3BE5" w14:paraId="73FE03CF" w14:textId="77777777" w:rsidTr="00164518">
        <w:trPr>
          <w:tblCellSpacing w:w="15" w:type="dxa"/>
        </w:trPr>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6B682" w14:textId="77777777" w:rsidR="000C3BE5" w:rsidRPr="00164518" w:rsidRDefault="000C3BE5" w:rsidP="000C3BE5">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164518">
              <w:rPr>
                <w:rFonts w:ascii="Times New Roman" w:eastAsia="Times New Roman" w:hAnsi="Times New Roman" w:cs="Times New Roman"/>
                <w:b/>
                <w:bCs/>
                <w:sz w:val="24"/>
                <w:szCs w:val="24"/>
                <w:lang w:eastAsia="lv-LV"/>
              </w:rPr>
              <w:t>2.</w:t>
            </w:r>
          </w:p>
        </w:tc>
        <w:tc>
          <w:tcPr>
            <w:tcW w:w="144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44A3A" w14:textId="77777777" w:rsidR="000C3BE5" w:rsidRPr="00164518" w:rsidRDefault="000C3BE5" w:rsidP="000C3BE5">
            <w:pPr>
              <w:spacing w:after="0" w:line="240" w:lineRule="auto"/>
              <w:rPr>
                <w:rFonts w:ascii="Times New Roman" w:eastAsia="Times New Roman" w:hAnsi="Times New Roman" w:cs="Times New Roman"/>
                <w:b/>
                <w:bCs/>
                <w:sz w:val="24"/>
                <w:szCs w:val="24"/>
                <w:lang w:eastAsia="lv-LV"/>
              </w:rPr>
            </w:pPr>
            <w:r w:rsidRPr="00164518">
              <w:rPr>
                <w:rFonts w:ascii="Times New Roman" w:eastAsia="Times New Roman" w:hAnsi="Times New Roman" w:cs="Times New Roman"/>
                <w:b/>
                <w:bCs/>
                <w:sz w:val="24"/>
                <w:szCs w:val="24"/>
                <w:lang w:eastAsia="lv-LV"/>
              </w:rPr>
              <w:t>Citas starptautiskās saistības</w:t>
            </w:r>
          </w:p>
        </w:tc>
        <w:tc>
          <w:tcPr>
            <w:tcW w:w="309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08B54" w14:textId="0A9D5C78" w:rsidR="000C3BE5" w:rsidRPr="000D5765" w:rsidRDefault="00C33DB9" w:rsidP="000C3BE5">
            <w:pPr>
              <w:spacing w:after="0" w:line="240" w:lineRule="auto"/>
              <w:rPr>
                <w:rFonts w:ascii="Times New Roman" w:eastAsia="Times New Roman" w:hAnsi="Times New Roman" w:cs="Times New Roman"/>
                <w:sz w:val="24"/>
                <w:szCs w:val="24"/>
                <w:lang w:eastAsia="lv-LV"/>
              </w:rPr>
            </w:pPr>
            <w:r w:rsidRPr="000D5765">
              <w:rPr>
                <w:rFonts w:ascii="Times New Roman" w:eastAsia="Times New Roman" w:hAnsi="Times New Roman" w:cs="Times New Roman"/>
                <w:sz w:val="24"/>
                <w:szCs w:val="24"/>
                <w:lang w:eastAsia="lv-LV"/>
              </w:rPr>
              <w:t>Nav</w:t>
            </w:r>
          </w:p>
        </w:tc>
      </w:tr>
      <w:tr w:rsidR="00C33DB9" w:rsidRPr="000C3BE5" w14:paraId="1EA14A7E" w14:textId="77777777" w:rsidTr="00164518">
        <w:trPr>
          <w:tblCellSpacing w:w="15" w:type="dxa"/>
        </w:trPr>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5046C" w14:textId="77777777" w:rsidR="000C3BE5" w:rsidRPr="00164518" w:rsidRDefault="000C3BE5" w:rsidP="000C3BE5">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164518">
              <w:rPr>
                <w:rFonts w:ascii="Times New Roman" w:eastAsia="Times New Roman" w:hAnsi="Times New Roman" w:cs="Times New Roman"/>
                <w:b/>
                <w:bCs/>
                <w:sz w:val="24"/>
                <w:szCs w:val="24"/>
                <w:lang w:eastAsia="lv-LV"/>
              </w:rPr>
              <w:t>3.</w:t>
            </w:r>
          </w:p>
        </w:tc>
        <w:tc>
          <w:tcPr>
            <w:tcW w:w="144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7968C" w14:textId="77777777" w:rsidR="000C3BE5" w:rsidRPr="00164518" w:rsidRDefault="000C3BE5" w:rsidP="000C3BE5">
            <w:pPr>
              <w:spacing w:after="0" w:line="240" w:lineRule="auto"/>
              <w:rPr>
                <w:rFonts w:ascii="Times New Roman" w:eastAsia="Times New Roman" w:hAnsi="Times New Roman" w:cs="Times New Roman"/>
                <w:b/>
                <w:bCs/>
                <w:sz w:val="24"/>
                <w:szCs w:val="24"/>
                <w:lang w:eastAsia="lv-LV"/>
              </w:rPr>
            </w:pPr>
            <w:r w:rsidRPr="00164518">
              <w:rPr>
                <w:rFonts w:ascii="Times New Roman" w:eastAsia="Times New Roman" w:hAnsi="Times New Roman" w:cs="Times New Roman"/>
                <w:b/>
                <w:bCs/>
                <w:sz w:val="24"/>
                <w:szCs w:val="24"/>
                <w:lang w:eastAsia="lv-LV"/>
              </w:rPr>
              <w:t>Cita informācija</w:t>
            </w:r>
          </w:p>
        </w:tc>
        <w:tc>
          <w:tcPr>
            <w:tcW w:w="309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767AF" w14:textId="45FB3596" w:rsidR="000C3BE5" w:rsidRPr="000D5765" w:rsidRDefault="00C33DB9" w:rsidP="000C3BE5">
            <w:pPr>
              <w:spacing w:after="0" w:line="240" w:lineRule="auto"/>
              <w:rPr>
                <w:rFonts w:ascii="Times New Roman" w:eastAsia="Times New Roman" w:hAnsi="Times New Roman" w:cs="Times New Roman"/>
                <w:sz w:val="24"/>
                <w:szCs w:val="24"/>
                <w:lang w:eastAsia="lv-LV"/>
              </w:rPr>
            </w:pPr>
            <w:r w:rsidRPr="000D5765">
              <w:rPr>
                <w:rFonts w:ascii="Times New Roman" w:eastAsia="Times New Roman" w:hAnsi="Times New Roman" w:cs="Times New Roman"/>
                <w:sz w:val="24"/>
                <w:szCs w:val="24"/>
                <w:lang w:eastAsia="lv-LV"/>
              </w:rPr>
              <w:t>Nav</w:t>
            </w:r>
          </w:p>
        </w:tc>
      </w:tr>
      <w:tr w:rsidR="00C33DB9" w:rsidRPr="00C33DB9" w14:paraId="5528A0B5" w14:textId="77777777" w:rsidTr="00C33DB9">
        <w:tblPrEx>
          <w:tblBorders>
            <w:insideH w:val="none" w:sz="0" w:space="0" w:color="auto"/>
            <w:insideV w:val="none" w:sz="0" w:space="0" w:color="auto"/>
          </w:tblBorders>
          <w:shd w:val="clear" w:color="auto" w:fill="auto"/>
        </w:tblPrEx>
        <w:trPr>
          <w:tblCellSpacing w:w="15" w:type="dxa"/>
        </w:trPr>
        <w:tc>
          <w:tcPr>
            <w:tcW w:w="4969" w:type="pct"/>
            <w:gridSpan w:val="6"/>
            <w:tcBorders>
              <w:top w:val="outset" w:sz="6" w:space="0" w:color="auto"/>
              <w:left w:val="outset" w:sz="6" w:space="0" w:color="auto"/>
              <w:bottom w:val="outset" w:sz="6" w:space="0" w:color="auto"/>
              <w:right w:val="outset" w:sz="6" w:space="0" w:color="auto"/>
            </w:tcBorders>
            <w:vAlign w:val="center"/>
            <w:hideMark/>
          </w:tcPr>
          <w:p w14:paraId="735313B9" w14:textId="77777777" w:rsidR="00C33DB9" w:rsidRPr="00164518" w:rsidRDefault="00C33DB9" w:rsidP="00C33DB9">
            <w:pPr>
              <w:shd w:val="clear" w:color="auto" w:fill="FFFFFF"/>
              <w:spacing w:after="0" w:line="240" w:lineRule="auto"/>
              <w:rPr>
                <w:rFonts w:ascii="Times New Roman" w:eastAsia="Times New Roman" w:hAnsi="Times New Roman" w:cs="Times New Roman"/>
                <w:b/>
                <w:bCs/>
                <w:color w:val="000000" w:themeColor="text1"/>
                <w:sz w:val="24"/>
                <w:szCs w:val="24"/>
                <w:lang w:eastAsia="lv-LV"/>
              </w:rPr>
            </w:pPr>
            <w:r w:rsidRPr="00164518">
              <w:rPr>
                <w:rFonts w:ascii="Times New Roman" w:eastAsia="Times New Roman" w:hAnsi="Times New Roman" w:cs="Times New Roman"/>
                <w:b/>
                <w:bCs/>
                <w:color w:val="000000" w:themeColor="text1"/>
                <w:sz w:val="24"/>
                <w:szCs w:val="24"/>
                <w:lang w:eastAsia="lv-LV"/>
              </w:rPr>
              <w:t>1. tabula</w:t>
            </w:r>
            <w:r w:rsidRPr="00164518">
              <w:rPr>
                <w:rFonts w:ascii="Times New Roman" w:eastAsia="Times New Roman" w:hAnsi="Times New Roman" w:cs="Times New Roman"/>
                <w:b/>
                <w:bCs/>
                <w:color w:val="000000" w:themeColor="text1"/>
                <w:sz w:val="24"/>
                <w:szCs w:val="24"/>
                <w:lang w:eastAsia="lv-LV"/>
              </w:rPr>
              <w:br/>
              <w:t>Tiesību akta projekta atbilstība ES tiesību aktiem</w:t>
            </w:r>
          </w:p>
        </w:tc>
      </w:tr>
      <w:tr w:rsidR="00C33DB9" w:rsidRPr="00C33DB9" w14:paraId="5B4D105A" w14:textId="77777777" w:rsidTr="00C33DB9">
        <w:tblPrEx>
          <w:tblBorders>
            <w:insideH w:val="none" w:sz="0" w:space="0" w:color="auto"/>
            <w:insideV w:val="none" w:sz="0" w:space="0" w:color="auto"/>
          </w:tblBorders>
          <w:shd w:val="clear" w:color="auto" w:fill="auto"/>
        </w:tblPrEx>
        <w:trPr>
          <w:tblCellSpacing w:w="15" w:type="dxa"/>
        </w:trPr>
        <w:tc>
          <w:tcPr>
            <w:tcW w:w="1231" w:type="pct"/>
            <w:gridSpan w:val="2"/>
            <w:tcBorders>
              <w:top w:val="outset" w:sz="6" w:space="0" w:color="auto"/>
              <w:left w:val="outset" w:sz="6" w:space="0" w:color="auto"/>
              <w:bottom w:val="outset" w:sz="6" w:space="0" w:color="auto"/>
              <w:right w:val="outset" w:sz="6" w:space="0" w:color="auto"/>
            </w:tcBorders>
            <w:hideMark/>
          </w:tcPr>
          <w:p w14:paraId="12AA2D61" w14:textId="77777777" w:rsidR="00C33DB9" w:rsidRPr="00164518" w:rsidRDefault="00C33DB9" w:rsidP="00C33DB9">
            <w:pPr>
              <w:shd w:val="clear" w:color="auto" w:fill="FFFFFF"/>
              <w:spacing w:after="0" w:line="240" w:lineRule="auto"/>
              <w:rPr>
                <w:rFonts w:ascii="Times New Roman" w:eastAsia="Times New Roman" w:hAnsi="Times New Roman" w:cs="Times New Roman"/>
                <w:b/>
                <w:bCs/>
                <w:color w:val="000000" w:themeColor="text1"/>
                <w:sz w:val="24"/>
                <w:szCs w:val="24"/>
                <w:lang w:eastAsia="lv-LV"/>
              </w:rPr>
            </w:pPr>
            <w:r w:rsidRPr="00164518">
              <w:rPr>
                <w:rFonts w:ascii="Times New Roman" w:eastAsia="Times New Roman" w:hAnsi="Times New Roman" w:cs="Times New Roman"/>
                <w:b/>
                <w:bCs/>
                <w:color w:val="000000" w:themeColor="text1"/>
                <w:sz w:val="24"/>
                <w:szCs w:val="24"/>
                <w:lang w:eastAsia="lv-LV"/>
              </w:rPr>
              <w:t>Attiecīgā ES tiesību akta datums, numurs un nosaukums</w:t>
            </w:r>
          </w:p>
        </w:tc>
        <w:tc>
          <w:tcPr>
            <w:tcW w:w="3723" w:type="pct"/>
            <w:gridSpan w:val="4"/>
            <w:tcBorders>
              <w:top w:val="outset" w:sz="6" w:space="0" w:color="auto"/>
              <w:left w:val="outset" w:sz="6" w:space="0" w:color="auto"/>
              <w:bottom w:val="outset" w:sz="6" w:space="0" w:color="auto"/>
              <w:right w:val="outset" w:sz="6" w:space="0" w:color="auto"/>
            </w:tcBorders>
            <w:hideMark/>
          </w:tcPr>
          <w:p w14:paraId="259B8BC0" w14:textId="73FF9383" w:rsidR="00C33DB9" w:rsidRPr="00164518" w:rsidRDefault="00C33DB9" w:rsidP="00C33DB9">
            <w:pPr>
              <w:shd w:val="clear" w:color="auto" w:fill="FFFFFF"/>
              <w:spacing w:after="0" w:line="240" w:lineRule="auto"/>
              <w:rPr>
                <w:rFonts w:ascii="Times New Roman" w:eastAsia="Times New Roman" w:hAnsi="Times New Roman" w:cs="Times New Roman"/>
                <w:b/>
                <w:bCs/>
                <w:color w:val="000000" w:themeColor="text1"/>
                <w:sz w:val="24"/>
                <w:szCs w:val="24"/>
                <w:lang w:eastAsia="lv-LV"/>
              </w:rPr>
            </w:pPr>
            <w:r w:rsidRPr="00164518">
              <w:rPr>
                <w:rFonts w:ascii="Times New Roman" w:eastAsia="Times New Roman" w:hAnsi="Times New Roman" w:cs="Times New Roman"/>
                <w:b/>
                <w:bCs/>
                <w:color w:val="000000" w:themeColor="text1"/>
                <w:sz w:val="24"/>
                <w:szCs w:val="24"/>
                <w:lang w:eastAsia="lv-LV"/>
              </w:rPr>
              <w:t>Eiropas Parlamenta un Padomes Regula (ES) 2017/745 2017.gada 5.aprīļa regula, kas attiecas uz medicīniskām ierīcēm, ar ko groza Direktīvu 2001/83/EK, Regulu (EK) Nr. 178/2002 un Regulu (EK) Nr. 1223/2009 un atceļ Padomes Direktīvas 90/385/EK un 93/42/EEK</w:t>
            </w:r>
          </w:p>
        </w:tc>
      </w:tr>
      <w:tr w:rsidR="00C33DB9" w:rsidRPr="00C33DB9" w14:paraId="6BF48292" w14:textId="77777777" w:rsidTr="00C33DB9">
        <w:tblPrEx>
          <w:tblBorders>
            <w:insideH w:val="none" w:sz="0" w:space="0" w:color="auto"/>
            <w:insideV w:val="none" w:sz="0" w:space="0" w:color="auto"/>
          </w:tblBorders>
          <w:shd w:val="clear" w:color="auto" w:fill="auto"/>
        </w:tblPrEx>
        <w:trPr>
          <w:tblCellSpacing w:w="15" w:type="dxa"/>
        </w:trPr>
        <w:tc>
          <w:tcPr>
            <w:tcW w:w="1231" w:type="pct"/>
            <w:gridSpan w:val="2"/>
            <w:tcBorders>
              <w:top w:val="outset" w:sz="6" w:space="0" w:color="auto"/>
              <w:left w:val="outset" w:sz="6" w:space="0" w:color="auto"/>
              <w:bottom w:val="outset" w:sz="6" w:space="0" w:color="auto"/>
              <w:right w:val="outset" w:sz="6" w:space="0" w:color="auto"/>
            </w:tcBorders>
            <w:vAlign w:val="center"/>
            <w:hideMark/>
          </w:tcPr>
          <w:p w14:paraId="3679311A" w14:textId="77777777" w:rsidR="00C33DB9" w:rsidRPr="00164518" w:rsidRDefault="00C33DB9" w:rsidP="00C33DB9">
            <w:pPr>
              <w:shd w:val="clear" w:color="auto" w:fill="FFFFFF"/>
              <w:spacing w:after="0" w:line="240" w:lineRule="auto"/>
              <w:rPr>
                <w:rFonts w:ascii="Times New Roman" w:eastAsia="Times New Roman" w:hAnsi="Times New Roman" w:cs="Times New Roman"/>
                <w:b/>
                <w:bCs/>
                <w:color w:val="000000" w:themeColor="text1"/>
                <w:sz w:val="24"/>
                <w:szCs w:val="24"/>
                <w:lang w:eastAsia="lv-LV"/>
              </w:rPr>
            </w:pPr>
            <w:r w:rsidRPr="00164518">
              <w:rPr>
                <w:rFonts w:ascii="Times New Roman" w:eastAsia="Times New Roman" w:hAnsi="Times New Roman" w:cs="Times New Roman"/>
                <w:b/>
                <w:bCs/>
                <w:color w:val="000000" w:themeColor="text1"/>
                <w:sz w:val="24"/>
                <w:szCs w:val="24"/>
                <w:lang w:eastAsia="lv-LV"/>
              </w:rPr>
              <w:t>A</w:t>
            </w:r>
          </w:p>
        </w:tc>
        <w:tc>
          <w:tcPr>
            <w:tcW w:w="1085" w:type="pct"/>
            <w:gridSpan w:val="2"/>
            <w:tcBorders>
              <w:top w:val="outset" w:sz="6" w:space="0" w:color="auto"/>
              <w:left w:val="outset" w:sz="6" w:space="0" w:color="auto"/>
              <w:bottom w:val="outset" w:sz="6" w:space="0" w:color="auto"/>
              <w:right w:val="outset" w:sz="6" w:space="0" w:color="auto"/>
            </w:tcBorders>
            <w:vAlign w:val="center"/>
            <w:hideMark/>
          </w:tcPr>
          <w:p w14:paraId="625D7534" w14:textId="77777777" w:rsidR="00C33DB9" w:rsidRPr="00164518" w:rsidRDefault="00C33DB9" w:rsidP="00C33DB9">
            <w:pPr>
              <w:shd w:val="clear" w:color="auto" w:fill="FFFFFF"/>
              <w:spacing w:after="0" w:line="240" w:lineRule="auto"/>
              <w:rPr>
                <w:rFonts w:ascii="Times New Roman" w:eastAsia="Times New Roman" w:hAnsi="Times New Roman" w:cs="Times New Roman"/>
                <w:b/>
                <w:bCs/>
                <w:color w:val="000000" w:themeColor="text1"/>
                <w:sz w:val="24"/>
                <w:szCs w:val="24"/>
                <w:lang w:eastAsia="lv-LV"/>
              </w:rPr>
            </w:pPr>
            <w:r w:rsidRPr="00164518">
              <w:rPr>
                <w:rFonts w:ascii="Times New Roman" w:eastAsia="Times New Roman" w:hAnsi="Times New Roman" w:cs="Times New Roman"/>
                <w:b/>
                <w:bCs/>
                <w:color w:val="000000" w:themeColor="text1"/>
                <w:sz w:val="24"/>
                <w:szCs w:val="24"/>
                <w:lang w:eastAsia="lv-LV"/>
              </w:rPr>
              <w:t>B</w:t>
            </w:r>
          </w:p>
        </w:tc>
        <w:tc>
          <w:tcPr>
            <w:tcW w:w="1055" w:type="pct"/>
            <w:tcBorders>
              <w:top w:val="outset" w:sz="6" w:space="0" w:color="auto"/>
              <w:left w:val="outset" w:sz="6" w:space="0" w:color="auto"/>
              <w:bottom w:val="outset" w:sz="6" w:space="0" w:color="auto"/>
              <w:right w:val="outset" w:sz="6" w:space="0" w:color="auto"/>
            </w:tcBorders>
            <w:vAlign w:val="center"/>
            <w:hideMark/>
          </w:tcPr>
          <w:p w14:paraId="36664606" w14:textId="77777777" w:rsidR="00C33DB9" w:rsidRPr="00164518" w:rsidRDefault="00C33DB9" w:rsidP="00C33DB9">
            <w:pPr>
              <w:shd w:val="clear" w:color="auto" w:fill="FFFFFF"/>
              <w:spacing w:after="0" w:line="240" w:lineRule="auto"/>
              <w:rPr>
                <w:rFonts w:ascii="Times New Roman" w:eastAsia="Times New Roman" w:hAnsi="Times New Roman" w:cs="Times New Roman"/>
                <w:b/>
                <w:bCs/>
                <w:color w:val="000000" w:themeColor="text1"/>
                <w:sz w:val="24"/>
                <w:szCs w:val="24"/>
                <w:lang w:eastAsia="lv-LV"/>
              </w:rPr>
            </w:pPr>
            <w:r w:rsidRPr="00164518">
              <w:rPr>
                <w:rFonts w:ascii="Times New Roman" w:eastAsia="Times New Roman" w:hAnsi="Times New Roman" w:cs="Times New Roman"/>
                <w:b/>
                <w:bCs/>
                <w:color w:val="000000" w:themeColor="text1"/>
                <w:sz w:val="24"/>
                <w:szCs w:val="24"/>
                <w:lang w:eastAsia="lv-LV"/>
              </w:rPr>
              <w:t>C</w:t>
            </w:r>
          </w:p>
        </w:tc>
        <w:tc>
          <w:tcPr>
            <w:tcW w:w="1551" w:type="pct"/>
            <w:tcBorders>
              <w:top w:val="outset" w:sz="6" w:space="0" w:color="auto"/>
              <w:left w:val="outset" w:sz="6" w:space="0" w:color="auto"/>
              <w:bottom w:val="outset" w:sz="6" w:space="0" w:color="auto"/>
              <w:right w:val="outset" w:sz="6" w:space="0" w:color="auto"/>
            </w:tcBorders>
            <w:vAlign w:val="center"/>
            <w:hideMark/>
          </w:tcPr>
          <w:p w14:paraId="0C9930DF" w14:textId="77777777" w:rsidR="00C33DB9" w:rsidRPr="00164518" w:rsidRDefault="00C33DB9" w:rsidP="00C33DB9">
            <w:pPr>
              <w:shd w:val="clear" w:color="auto" w:fill="FFFFFF"/>
              <w:spacing w:after="0" w:line="240" w:lineRule="auto"/>
              <w:rPr>
                <w:rFonts w:ascii="Times New Roman" w:eastAsia="Times New Roman" w:hAnsi="Times New Roman" w:cs="Times New Roman"/>
                <w:b/>
                <w:bCs/>
                <w:color w:val="000000" w:themeColor="text1"/>
                <w:sz w:val="24"/>
                <w:szCs w:val="24"/>
                <w:lang w:eastAsia="lv-LV"/>
              </w:rPr>
            </w:pPr>
            <w:r w:rsidRPr="00164518">
              <w:rPr>
                <w:rFonts w:ascii="Times New Roman" w:eastAsia="Times New Roman" w:hAnsi="Times New Roman" w:cs="Times New Roman"/>
                <w:b/>
                <w:bCs/>
                <w:color w:val="000000" w:themeColor="text1"/>
                <w:sz w:val="24"/>
                <w:szCs w:val="24"/>
                <w:lang w:eastAsia="lv-LV"/>
              </w:rPr>
              <w:t>D</w:t>
            </w:r>
          </w:p>
        </w:tc>
      </w:tr>
      <w:tr w:rsidR="00C33DB9" w:rsidRPr="00C33DB9" w14:paraId="09266CCF" w14:textId="77777777" w:rsidTr="00682A13">
        <w:tblPrEx>
          <w:tblBorders>
            <w:insideH w:val="none" w:sz="0" w:space="0" w:color="auto"/>
            <w:insideV w:val="none" w:sz="0" w:space="0" w:color="auto"/>
          </w:tblBorders>
          <w:shd w:val="clear" w:color="auto" w:fill="auto"/>
        </w:tblPrEx>
        <w:trPr>
          <w:tblCellSpacing w:w="15" w:type="dxa"/>
        </w:trPr>
        <w:tc>
          <w:tcPr>
            <w:tcW w:w="1231" w:type="pct"/>
            <w:gridSpan w:val="2"/>
            <w:tcBorders>
              <w:top w:val="outset" w:sz="6" w:space="0" w:color="auto"/>
              <w:left w:val="outset" w:sz="6" w:space="0" w:color="auto"/>
              <w:bottom w:val="outset" w:sz="6" w:space="0" w:color="auto"/>
              <w:right w:val="outset" w:sz="6" w:space="0" w:color="auto"/>
            </w:tcBorders>
            <w:hideMark/>
          </w:tcPr>
          <w:p w14:paraId="1E4217A6" w14:textId="4ED0A24D" w:rsidR="00C33DB9" w:rsidRPr="00164518" w:rsidRDefault="00C33DB9" w:rsidP="00C33DB9">
            <w:pPr>
              <w:shd w:val="clear" w:color="auto" w:fill="FFFFFF"/>
              <w:spacing w:after="0" w:line="240" w:lineRule="auto"/>
              <w:rPr>
                <w:rFonts w:ascii="Times New Roman" w:eastAsia="Times New Roman" w:hAnsi="Times New Roman" w:cs="Times New Roman"/>
                <w:b/>
                <w:bCs/>
                <w:color w:val="000000" w:themeColor="text1"/>
                <w:sz w:val="24"/>
                <w:szCs w:val="24"/>
                <w:lang w:eastAsia="lv-LV"/>
              </w:rPr>
            </w:pPr>
            <w:r w:rsidRPr="00164518">
              <w:rPr>
                <w:rFonts w:ascii="Times New Roman" w:eastAsia="Times New Roman" w:hAnsi="Times New Roman" w:cs="Times New Roman"/>
                <w:b/>
                <w:bCs/>
                <w:color w:val="000000" w:themeColor="text1"/>
                <w:sz w:val="24"/>
                <w:szCs w:val="24"/>
                <w:lang w:eastAsia="lv-LV"/>
              </w:rPr>
              <w:t>11</w:t>
            </w:r>
            <w:r w:rsidR="00682A13" w:rsidRPr="00164518">
              <w:rPr>
                <w:rFonts w:ascii="Times New Roman" w:eastAsia="Times New Roman" w:hAnsi="Times New Roman" w:cs="Times New Roman"/>
                <w:b/>
                <w:bCs/>
                <w:color w:val="000000" w:themeColor="text1"/>
                <w:sz w:val="24"/>
                <w:szCs w:val="24"/>
                <w:lang w:eastAsia="lv-LV"/>
              </w:rPr>
              <w:t>1</w:t>
            </w:r>
            <w:r w:rsidRPr="00164518">
              <w:rPr>
                <w:rFonts w:ascii="Times New Roman" w:eastAsia="Times New Roman" w:hAnsi="Times New Roman" w:cs="Times New Roman"/>
                <w:b/>
                <w:bCs/>
                <w:color w:val="000000" w:themeColor="text1"/>
                <w:sz w:val="24"/>
                <w:szCs w:val="24"/>
                <w:lang w:eastAsia="lv-LV"/>
              </w:rPr>
              <w:t>.panta 1.punkts</w:t>
            </w:r>
          </w:p>
        </w:tc>
        <w:tc>
          <w:tcPr>
            <w:tcW w:w="1085" w:type="pct"/>
            <w:gridSpan w:val="2"/>
            <w:tcBorders>
              <w:top w:val="outset" w:sz="6" w:space="0" w:color="auto"/>
              <w:left w:val="outset" w:sz="6" w:space="0" w:color="auto"/>
              <w:bottom w:val="outset" w:sz="6" w:space="0" w:color="auto"/>
              <w:right w:val="outset" w:sz="6" w:space="0" w:color="auto"/>
            </w:tcBorders>
            <w:hideMark/>
          </w:tcPr>
          <w:p w14:paraId="6891F17A" w14:textId="21A2A40E" w:rsidR="00C33DB9" w:rsidRPr="000D5765" w:rsidRDefault="00682A13" w:rsidP="00C33DB9">
            <w:pPr>
              <w:shd w:val="clear" w:color="auto" w:fill="FFFFFF"/>
              <w:spacing w:after="0" w:line="240" w:lineRule="auto"/>
              <w:rPr>
                <w:rFonts w:ascii="Times New Roman" w:eastAsia="Times New Roman" w:hAnsi="Times New Roman" w:cs="Times New Roman"/>
                <w:color w:val="000000" w:themeColor="text1"/>
                <w:sz w:val="24"/>
                <w:szCs w:val="24"/>
                <w:lang w:eastAsia="lv-LV"/>
              </w:rPr>
            </w:pPr>
            <w:r w:rsidRPr="000D5765">
              <w:rPr>
                <w:rFonts w:ascii="Times New Roman" w:eastAsia="Times New Roman" w:hAnsi="Times New Roman" w:cs="Times New Roman"/>
                <w:color w:val="000000" w:themeColor="text1"/>
                <w:sz w:val="24"/>
                <w:szCs w:val="24"/>
                <w:lang w:eastAsia="lv-LV"/>
              </w:rPr>
              <w:t>67.punkts</w:t>
            </w:r>
          </w:p>
        </w:tc>
        <w:tc>
          <w:tcPr>
            <w:tcW w:w="1055" w:type="pct"/>
            <w:tcBorders>
              <w:top w:val="outset" w:sz="6" w:space="0" w:color="auto"/>
              <w:left w:val="outset" w:sz="6" w:space="0" w:color="auto"/>
              <w:bottom w:val="outset" w:sz="6" w:space="0" w:color="auto"/>
              <w:right w:val="outset" w:sz="6" w:space="0" w:color="auto"/>
            </w:tcBorders>
          </w:tcPr>
          <w:p w14:paraId="41E9BBAC" w14:textId="74C6BEB7" w:rsidR="00C33DB9" w:rsidRPr="000D5765" w:rsidRDefault="00682A13" w:rsidP="00C33DB9">
            <w:pPr>
              <w:shd w:val="clear" w:color="auto" w:fill="FFFFFF"/>
              <w:spacing w:after="0" w:line="240" w:lineRule="auto"/>
              <w:rPr>
                <w:rFonts w:ascii="Times New Roman" w:eastAsia="Times New Roman" w:hAnsi="Times New Roman" w:cs="Times New Roman"/>
                <w:color w:val="000000" w:themeColor="text1"/>
                <w:sz w:val="24"/>
                <w:szCs w:val="24"/>
                <w:lang w:eastAsia="lv-LV"/>
              </w:rPr>
            </w:pPr>
            <w:r w:rsidRPr="000D5765">
              <w:rPr>
                <w:rFonts w:ascii="Times New Roman" w:eastAsia="Times New Roman" w:hAnsi="Times New Roman" w:cs="Times New Roman"/>
                <w:color w:val="000000" w:themeColor="text1"/>
                <w:sz w:val="24"/>
                <w:szCs w:val="24"/>
                <w:lang w:eastAsia="lv-LV"/>
              </w:rPr>
              <w:t>Tiek ieviestas pilnībā</w:t>
            </w:r>
          </w:p>
        </w:tc>
        <w:tc>
          <w:tcPr>
            <w:tcW w:w="1551" w:type="pct"/>
            <w:tcBorders>
              <w:top w:val="outset" w:sz="6" w:space="0" w:color="auto"/>
              <w:left w:val="outset" w:sz="6" w:space="0" w:color="auto"/>
              <w:bottom w:val="outset" w:sz="6" w:space="0" w:color="auto"/>
              <w:right w:val="outset" w:sz="6" w:space="0" w:color="auto"/>
            </w:tcBorders>
            <w:hideMark/>
          </w:tcPr>
          <w:p w14:paraId="3ED193F8" w14:textId="3F7B3B13" w:rsidR="00C33DB9" w:rsidRPr="000D5765" w:rsidRDefault="00682A13" w:rsidP="00C33DB9">
            <w:pPr>
              <w:shd w:val="clear" w:color="auto" w:fill="FFFFFF"/>
              <w:spacing w:after="0" w:line="240" w:lineRule="auto"/>
              <w:rPr>
                <w:rFonts w:ascii="Times New Roman" w:eastAsia="Times New Roman" w:hAnsi="Times New Roman" w:cs="Times New Roman"/>
                <w:color w:val="000000" w:themeColor="text1"/>
                <w:sz w:val="24"/>
                <w:szCs w:val="24"/>
                <w:lang w:eastAsia="lv-LV"/>
              </w:rPr>
            </w:pPr>
            <w:r w:rsidRPr="000D5765">
              <w:rPr>
                <w:rFonts w:ascii="Times New Roman" w:eastAsia="Times New Roman" w:hAnsi="Times New Roman" w:cs="Times New Roman"/>
                <w:color w:val="000000" w:themeColor="text1"/>
                <w:sz w:val="24"/>
                <w:szCs w:val="24"/>
                <w:lang w:eastAsia="lv-LV"/>
              </w:rPr>
              <w:t>Stingrākas prasības neparedz</w:t>
            </w:r>
          </w:p>
        </w:tc>
      </w:tr>
      <w:tr w:rsidR="00C33DB9" w:rsidRPr="00C33DB9" w14:paraId="7BE300ED" w14:textId="77777777" w:rsidTr="00C33DB9">
        <w:tblPrEx>
          <w:tblBorders>
            <w:insideH w:val="none" w:sz="0" w:space="0" w:color="auto"/>
            <w:insideV w:val="none" w:sz="0" w:space="0" w:color="auto"/>
          </w:tblBorders>
          <w:shd w:val="clear" w:color="auto" w:fill="auto"/>
        </w:tblPrEx>
        <w:trPr>
          <w:tblCellSpacing w:w="15" w:type="dxa"/>
        </w:trPr>
        <w:tc>
          <w:tcPr>
            <w:tcW w:w="1231" w:type="pct"/>
            <w:gridSpan w:val="2"/>
            <w:tcBorders>
              <w:top w:val="outset" w:sz="6" w:space="0" w:color="auto"/>
              <w:left w:val="outset" w:sz="6" w:space="0" w:color="auto"/>
              <w:bottom w:val="outset" w:sz="6" w:space="0" w:color="auto"/>
              <w:right w:val="outset" w:sz="6" w:space="0" w:color="auto"/>
            </w:tcBorders>
            <w:hideMark/>
          </w:tcPr>
          <w:p w14:paraId="22290144" w14:textId="119DBE7D" w:rsidR="00C33DB9" w:rsidRPr="00164518" w:rsidRDefault="009D788B" w:rsidP="00C33DB9">
            <w:pPr>
              <w:shd w:val="clear" w:color="auto" w:fill="FFFFFF"/>
              <w:spacing w:after="0" w:line="240" w:lineRule="auto"/>
              <w:rPr>
                <w:rFonts w:ascii="Times New Roman" w:eastAsia="Times New Roman" w:hAnsi="Times New Roman" w:cs="Times New Roman"/>
                <w:b/>
                <w:bCs/>
                <w:color w:val="000000" w:themeColor="text1"/>
                <w:sz w:val="24"/>
                <w:szCs w:val="24"/>
                <w:lang w:eastAsia="lv-LV"/>
              </w:rPr>
            </w:pPr>
            <w:r w:rsidRPr="00164518">
              <w:rPr>
                <w:rFonts w:ascii="Times New Roman" w:eastAsia="Times New Roman" w:hAnsi="Times New Roman" w:cs="Times New Roman"/>
                <w:b/>
                <w:bCs/>
                <w:color w:val="000000" w:themeColor="text1"/>
                <w:sz w:val="24"/>
                <w:szCs w:val="24"/>
                <w:lang w:eastAsia="lv-LV"/>
              </w:rPr>
              <w:t>123.panta 2.punkts</w:t>
            </w:r>
          </w:p>
        </w:tc>
        <w:tc>
          <w:tcPr>
            <w:tcW w:w="1085" w:type="pct"/>
            <w:gridSpan w:val="2"/>
            <w:tcBorders>
              <w:top w:val="outset" w:sz="6" w:space="0" w:color="auto"/>
              <w:left w:val="outset" w:sz="6" w:space="0" w:color="auto"/>
              <w:bottom w:val="outset" w:sz="6" w:space="0" w:color="auto"/>
              <w:right w:val="outset" w:sz="6" w:space="0" w:color="auto"/>
            </w:tcBorders>
            <w:hideMark/>
          </w:tcPr>
          <w:p w14:paraId="1A224CCC" w14:textId="7313474F" w:rsidR="00C33DB9" w:rsidRPr="000D5765" w:rsidRDefault="006426AE" w:rsidP="00C33DB9">
            <w:pPr>
              <w:shd w:val="clear" w:color="auto" w:fill="FFFFFF"/>
              <w:spacing w:after="0" w:line="240" w:lineRule="auto"/>
              <w:rPr>
                <w:rFonts w:ascii="Times New Roman" w:eastAsia="Times New Roman" w:hAnsi="Times New Roman" w:cs="Times New Roman"/>
                <w:color w:val="000000" w:themeColor="text1"/>
                <w:sz w:val="24"/>
                <w:szCs w:val="24"/>
                <w:lang w:eastAsia="lv-LV"/>
              </w:rPr>
            </w:pPr>
            <w:r w:rsidRPr="000D5765">
              <w:rPr>
                <w:rFonts w:ascii="Times New Roman" w:eastAsia="Times New Roman" w:hAnsi="Times New Roman" w:cs="Times New Roman"/>
                <w:color w:val="000000" w:themeColor="text1"/>
                <w:sz w:val="24"/>
                <w:szCs w:val="24"/>
                <w:lang w:eastAsia="lv-LV"/>
              </w:rPr>
              <w:t>60., 61.punkts</w:t>
            </w:r>
          </w:p>
        </w:tc>
        <w:tc>
          <w:tcPr>
            <w:tcW w:w="1055" w:type="pct"/>
            <w:tcBorders>
              <w:top w:val="outset" w:sz="6" w:space="0" w:color="auto"/>
              <w:left w:val="outset" w:sz="6" w:space="0" w:color="auto"/>
              <w:bottom w:val="outset" w:sz="6" w:space="0" w:color="auto"/>
              <w:right w:val="outset" w:sz="6" w:space="0" w:color="auto"/>
            </w:tcBorders>
            <w:hideMark/>
          </w:tcPr>
          <w:p w14:paraId="30E8DF57" w14:textId="4B0CABD7" w:rsidR="00C33DB9" w:rsidRPr="000D5765" w:rsidRDefault="006426AE" w:rsidP="00C33DB9">
            <w:pPr>
              <w:shd w:val="clear" w:color="auto" w:fill="FFFFFF"/>
              <w:spacing w:after="0" w:line="240" w:lineRule="auto"/>
              <w:rPr>
                <w:rFonts w:ascii="Times New Roman" w:eastAsia="Times New Roman" w:hAnsi="Times New Roman" w:cs="Times New Roman"/>
                <w:color w:val="000000" w:themeColor="text1"/>
                <w:sz w:val="24"/>
                <w:szCs w:val="24"/>
                <w:lang w:eastAsia="lv-LV"/>
              </w:rPr>
            </w:pPr>
            <w:r w:rsidRPr="000D5765">
              <w:rPr>
                <w:rFonts w:ascii="Times New Roman" w:eastAsia="Times New Roman" w:hAnsi="Times New Roman" w:cs="Times New Roman"/>
                <w:color w:val="000000" w:themeColor="text1"/>
                <w:sz w:val="24"/>
                <w:szCs w:val="24"/>
                <w:lang w:eastAsia="lv-LV"/>
              </w:rPr>
              <w:t>Tiek ieviestas pilnībā</w:t>
            </w:r>
          </w:p>
        </w:tc>
        <w:tc>
          <w:tcPr>
            <w:tcW w:w="1551" w:type="pct"/>
            <w:tcBorders>
              <w:top w:val="outset" w:sz="6" w:space="0" w:color="auto"/>
              <w:left w:val="outset" w:sz="6" w:space="0" w:color="auto"/>
              <w:bottom w:val="outset" w:sz="6" w:space="0" w:color="auto"/>
              <w:right w:val="outset" w:sz="6" w:space="0" w:color="auto"/>
            </w:tcBorders>
            <w:hideMark/>
          </w:tcPr>
          <w:p w14:paraId="70CCCD0B" w14:textId="49103E99" w:rsidR="00C33DB9" w:rsidRPr="000D5765" w:rsidRDefault="006426AE" w:rsidP="00C33DB9">
            <w:pPr>
              <w:shd w:val="clear" w:color="auto" w:fill="FFFFFF"/>
              <w:spacing w:after="0" w:line="240" w:lineRule="auto"/>
              <w:rPr>
                <w:rFonts w:ascii="Times New Roman" w:eastAsia="Times New Roman" w:hAnsi="Times New Roman" w:cs="Times New Roman"/>
                <w:color w:val="000000" w:themeColor="text1"/>
                <w:sz w:val="24"/>
                <w:szCs w:val="24"/>
                <w:lang w:eastAsia="lv-LV"/>
              </w:rPr>
            </w:pPr>
            <w:r w:rsidRPr="000D5765">
              <w:rPr>
                <w:rFonts w:ascii="Times New Roman" w:eastAsia="Times New Roman" w:hAnsi="Times New Roman" w:cs="Times New Roman"/>
                <w:color w:val="000000" w:themeColor="text1"/>
                <w:sz w:val="24"/>
                <w:szCs w:val="24"/>
                <w:lang w:eastAsia="lv-LV"/>
              </w:rPr>
              <w:t>Stingrākas prasības neparedz</w:t>
            </w:r>
          </w:p>
        </w:tc>
      </w:tr>
      <w:tr w:rsidR="00C33DB9" w:rsidRPr="00C33DB9" w14:paraId="06E06772" w14:textId="77777777" w:rsidTr="00C33DB9">
        <w:tblPrEx>
          <w:tblBorders>
            <w:insideH w:val="none" w:sz="0" w:space="0" w:color="auto"/>
            <w:insideV w:val="none" w:sz="0" w:space="0" w:color="auto"/>
          </w:tblBorders>
          <w:shd w:val="clear" w:color="auto" w:fill="auto"/>
        </w:tblPrEx>
        <w:trPr>
          <w:tblCellSpacing w:w="15" w:type="dxa"/>
        </w:trPr>
        <w:tc>
          <w:tcPr>
            <w:tcW w:w="1231" w:type="pct"/>
            <w:gridSpan w:val="2"/>
            <w:tcBorders>
              <w:top w:val="outset" w:sz="6" w:space="0" w:color="auto"/>
              <w:left w:val="outset" w:sz="6" w:space="0" w:color="auto"/>
              <w:bottom w:val="outset" w:sz="6" w:space="0" w:color="auto"/>
              <w:right w:val="outset" w:sz="6" w:space="0" w:color="auto"/>
            </w:tcBorders>
            <w:hideMark/>
          </w:tcPr>
          <w:p w14:paraId="4EA76D85" w14:textId="77777777" w:rsidR="00C33DB9" w:rsidRPr="00C33DB9" w:rsidRDefault="00C33DB9" w:rsidP="00C33DB9">
            <w:pPr>
              <w:shd w:val="clear" w:color="auto" w:fill="FFFFFF"/>
              <w:spacing w:after="0" w:line="240" w:lineRule="auto"/>
              <w:rPr>
                <w:rFonts w:ascii="Times New Roman" w:eastAsia="Times New Roman" w:hAnsi="Times New Roman" w:cs="Times New Roman"/>
                <w:color w:val="000000" w:themeColor="text1"/>
                <w:sz w:val="24"/>
                <w:szCs w:val="24"/>
                <w:lang w:eastAsia="lv-LV"/>
              </w:rPr>
            </w:pPr>
            <w:r w:rsidRPr="00C33DB9">
              <w:rPr>
                <w:rFonts w:ascii="Times New Roman" w:eastAsia="Times New Roman" w:hAnsi="Times New Roman" w:cs="Times New Roman"/>
                <w:color w:val="000000" w:themeColor="text1"/>
                <w:sz w:val="24"/>
                <w:szCs w:val="24"/>
                <w:lang w:eastAsia="lv-LV"/>
              </w:rPr>
              <w:t>Kā ir izmantota ES tiesību aktā paredzētā rīcības brīvība dalībvalstij pārņemt vai ieviest noteiktas ES tiesību akta normas? Kādēļ?</w:t>
            </w:r>
          </w:p>
        </w:tc>
        <w:tc>
          <w:tcPr>
            <w:tcW w:w="3723" w:type="pct"/>
            <w:gridSpan w:val="4"/>
            <w:tcBorders>
              <w:top w:val="outset" w:sz="6" w:space="0" w:color="auto"/>
              <w:left w:val="outset" w:sz="6" w:space="0" w:color="auto"/>
              <w:bottom w:val="outset" w:sz="6" w:space="0" w:color="auto"/>
              <w:right w:val="outset" w:sz="6" w:space="0" w:color="auto"/>
            </w:tcBorders>
            <w:hideMark/>
          </w:tcPr>
          <w:p w14:paraId="0821770A" w14:textId="6A1ECCFA" w:rsidR="00C33DB9" w:rsidRPr="00C33DB9" w:rsidRDefault="006426AE" w:rsidP="00C33DB9">
            <w:pPr>
              <w:shd w:val="clear" w:color="auto" w:fill="FFFFFF"/>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Nav</w:t>
            </w:r>
          </w:p>
        </w:tc>
      </w:tr>
      <w:tr w:rsidR="00C33DB9" w:rsidRPr="00C33DB9" w14:paraId="3A21601A" w14:textId="77777777" w:rsidTr="00C33DB9">
        <w:tblPrEx>
          <w:tblBorders>
            <w:insideH w:val="none" w:sz="0" w:space="0" w:color="auto"/>
            <w:insideV w:val="none" w:sz="0" w:space="0" w:color="auto"/>
          </w:tblBorders>
          <w:shd w:val="clear" w:color="auto" w:fill="auto"/>
        </w:tblPrEx>
        <w:trPr>
          <w:tblCellSpacing w:w="15" w:type="dxa"/>
        </w:trPr>
        <w:tc>
          <w:tcPr>
            <w:tcW w:w="1231" w:type="pct"/>
            <w:gridSpan w:val="2"/>
            <w:tcBorders>
              <w:top w:val="outset" w:sz="6" w:space="0" w:color="auto"/>
              <w:left w:val="outset" w:sz="6" w:space="0" w:color="auto"/>
              <w:bottom w:val="outset" w:sz="6" w:space="0" w:color="auto"/>
              <w:right w:val="outset" w:sz="6" w:space="0" w:color="auto"/>
            </w:tcBorders>
            <w:hideMark/>
          </w:tcPr>
          <w:p w14:paraId="69ED255A" w14:textId="77777777" w:rsidR="00C33DB9" w:rsidRPr="00C33DB9" w:rsidRDefault="00C33DB9" w:rsidP="00C33DB9">
            <w:pPr>
              <w:shd w:val="clear" w:color="auto" w:fill="FFFFFF"/>
              <w:spacing w:after="0" w:line="240" w:lineRule="auto"/>
              <w:rPr>
                <w:rFonts w:ascii="Times New Roman" w:eastAsia="Times New Roman" w:hAnsi="Times New Roman" w:cs="Times New Roman"/>
                <w:color w:val="000000" w:themeColor="text1"/>
                <w:sz w:val="24"/>
                <w:szCs w:val="24"/>
                <w:lang w:eastAsia="lv-LV"/>
              </w:rPr>
            </w:pPr>
            <w:r w:rsidRPr="00C33DB9">
              <w:rPr>
                <w:rFonts w:ascii="Times New Roman" w:eastAsia="Times New Roman" w:hAnsi="Times New Roman" w:cs="Times New Roman"/>
                <w:color w:val="000000" w:themeColor="text1"/>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23" w:type="pct"/>
            <w:gridSpan w:val="4"/>
            <w:tcBorders>
              <w:top w:val="outset" w:sz="6" w:space="0" w:color="auto"/>
              <w:left w:val="outset" w:sz="6" w:space="0" w:color="auto"/>
              <w:bottom w:val="outset" w:sz="6" w:space="0" w:color="auto"/>
              <w:right w:val="outset" w:sz="6" w:space="0" w:color="auto"/>
            </w:tcBorders>
            <w:hideMark/>
          </w:tcPr>
          <w:p w14:paraId="49BEDC97" w14:textId="56E2CDE3" w:rsidR="00C33DB9" w:rsidRPr="00C33DB9" w:rsidRDefault="006426AE" w:rsidP="00C33DB9">
            <w:pPr>
              <w:shd w:val="clear" w:color="auto" w:fill="FFFFFF"/>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Nav</w:t>
            </w:r>
          </w:p>
        </w:tc>
      </w:tr>
      <w:tr w:rsidR="00C33DB9" w:rsidRPr="00C33DB9" w14:paraId="6B89BB3B" w14:textId="77777777" w:rsidTr="00C33DB9">
        <w:tblPrEx>
          <w:tblBorders>
            <w:insideH w:val="none" w:sz="0" w:space="0" w:color="auto"/>
            <w:insideV w:val="none" w:sz="0" w:space="0" w:color="auto"/>
          </w:tblBorders>
          <w:shd w:val="clear" w:color="auto" w:fill="auto"/>
        </w:tblPrEx>
        <w:trPr>
          <w:tblCellSpacing w:w="15" w:type="dxa"/>
        </w:trPr>
        <w:tc>
          <w:tcPr>
            <w:tcW w:w="1231" w:type="pct"/>
            <w:gridSpan w:val="2"/>
            <w:tcBorders>
              <w:top w:val="outset" w:sz="6" w:space="0" w:color="auto"/>
              <w:left w:val="outset" w:sz="6" w:space="0" w:color="auto"/>
              <w:bottom w:val="outset" w:sz="6" w:space="0" w:color="auto"/>
              <w:right w:val="outset" w:sz="6" w:space="0" w:color="auto"/>
            </w:tcBorders>
            <w:hideMark/>
          </w:tcPr>
          <w:p w14:paraId="2D7097B8" w14:textId="77777777" w:rsidR="00C33DB9" w:rsidRPr="00C33DB9" w:rsidRDefault="00C33DB9" w:rsidP="00C33DB9">
            <w:pPr>
              <w:shd w:val="clear" w:color="auto" w:fill="FFFFFF"/>
              <w:spacing w:after="0" w:line="240" w:lineRule="auto"/>
              <w:rPr>
                <w:rFonts w:ascii="Times New Roman" w:eastAsia="Times New Roman" w:hAnsi="Times New Roman" w:cs="Times New Roman"/>
                <w:color w:val="000000" w:themeColor="text1"/>
                <w:sz w:val="24"/>
                <w:szCs w:val="24"/>
                <w:lang w:eastAsia="lv-LV"/>
              </w:rPr>
            </w:pPr>
            <w:r w:rsidRPr="00C33DB9">
              <w:rPr>
                <w:rFonts w:ascii="Times New Roman" w:eastAsia="Times New Roman" w:hAnsi="Times New Roman" w:cs="Times New Roman"/>
                <w:color w:val="000000" w:themeColor="text1"/>
                <w:sz w:val="24"/>
                <w:szCs w:val="24"/>
                <w:lang w:eastAsia="lv-LV"/>
              </w:rPr>
              <w:t>Cita informācija</w:t>
            </w:r>
          </w:p>
        </w:tc>
        <w:tc>
          <w:tcPr>
            <w:tcW w:w="3723" w:type="pct"/>
            <w:gridSpan w:val="4"/>
            <w:tcBorders>
              <w:top w:val="outset" w:sz="6" w:space="0" w:color="auto"/>
              <w:left w:val="outset" w:sz="6" w:space="0" w:color="auto"/>
              <w:bottom w:val="outset" w:sz="6" w:space="0" w:color="auto"/>
              <w:right w:val="outset" w:sz="6" w:space="0" w:color="auto"/>
            </w:tcBorders>
            <w:hideMark/>
          </w:tcPr>
          <w:p w14:paraId="53793241" w14:textId="4FEE71F7" w:rsidR="00C33DB9" w:rsidRPr="00C33DB9" w:rsidRDefault="006426AE" w:rsidP="00C33DB9">
            <w:pPr>
              <w:shd w:val="clear" w:color="auto" w:fill="FFFFFF"/>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Nav</w:t>
            </w:r>
          </w:p>
        </w:tc>
      </w:tr>
    </w:tbl>
    <w:p w14:paraId="79DF4374" w14:textId="77777777" w:rsidR="007723BA" w:rsidRPr="00C33DB9" w:rsidRDefault="007723BA" w:rsidP="007723BA">
      <w:pPr>
        <w:shd w:val="clear" w:color="auto" w:fill="FFFFFF"/>
        <w:spacing w:after="0" w:line="240" w:lineRule="auto"/>
        <w:rPr>
          <w:rFonts w:ascii="Times New Roman" w:eastAsia="Times New Roman" w:hAnsi="Times New Roman" w:cs="Times New Roman"/>
          <w:color w:val="000000" w:themeColor="text1"/>
          <w:sz w:val="24"/>
          <w:szCs w:val="24"/>
          <w:lang w:eastAsia="lv-LV"/>
        </w:rPr>
      </w:pPr>
    </w:p>
    <w:tbl>
      <w:tblPr>
        <w:tblW w:w="5318" w:type="pct"/>
        <w:jc w:val="center"/>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501"/>
        <w:gridCol w:w="2893"/>
        <w:gridCol w:w="6237"/>
      </w:tblGrid>
      <w:tr w:rsidR="007723BA" w:rsidRPr="003429ED" w14:paraId="7819463B" w14:textId="77777777" w:rsidTr="00630627">
        <w:trPr>
          <w:trHeight w:val="336"/>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52BB05B" w14:textId="77777777" w:rsidR="007723BA" w:rsidRPr="003429ED" w:rsidRDefault="007723BA" w:rsidP="00630627">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429ED">
              <w:rPr>
                <w:rFonts w:ascii="Times New Roman" w:eastAsia="Times New Roman" w:hAnsi="Times New Roman" w:cs="Times New Roman"/>
                <w:b/>
                <w:bCs/>
                <w:sz w:val="24"/>
                <w:szCs w:val="24"/>
                <w:lang w:eastAsia="lv-LV"/>
              </w:rPr>
              <w:t>VI. Sabiedrības līdzdalība un komunikācijas aktivitātes</w:t>
            </w:r>
          </w:p>
        </w:tc>
      </w:tr>
      <w:tr w:rsidR="007723BA" w:rsidRPr="003429ED" w14:paraId="7E02BAE9" w14:textId="77777777" w:rsidTr="00630627">
        <w:trPr>
          <w:trHeight w:val="432"/>
          <w:jc w:val="center"/>
        </w:trPr>
        <w:tc>
          <w:tcPr>
            <w:tcW w:w="260" w:type="pct"/>
            <w:tcBorders>
              <w:top w:val="outset" w:sz="6" w:space="0" w:color="414142"/>
              <w:left w:val="outset" w:sz="6" w:space="0" w:color="414142"/>
              <w:bottom w:val="outset" w:sz="6" w:space="0" w:color="414142"/>
              <w:right w:val="outset" w:sz="6" w:space="0" w:color="414142"/>
            </w:tcBorders>
            <w:hideMark/>
          </w:tcPr>
          <w:p w14:paraId="7CA847F5"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1.</w:t>
            </w:r>
          </w:p>
        </w:tc>
        <w:tc>
          <w:tcPr>
            <w:tcW w:w="1502" w:type="pct"/>
            <w:tcBorders>
              <w:top w:val="outset" w:sz="6" w:space="0" w:color="414142"/>
              <w:left w:val="outset" w:sz="6" w:space="0" w:color="414142"/>
              <w:bottom w:val="outset" w:sz="6" w:space="0" w:color="414142"/>
              <w:right w:val="outset" w:sz="6" w:space="0" w:color="414142"/>
            </w:tcBorders>
            <w:hideMark/>
          </w:tcPr>
          <w:p w14:paraId="5EDD6C07"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Plānotās sabiedrības līdzdalības un komunikācijas aktivitātes saistībā ar projektu</w:t>
            </w:r>
          </w:p>
        </w:tc>
        <w:tc>
          <w:tcPr>
            <w:tcW w:w="3238" w:type="pct"/>
            <w:tcBorders>
              <w:top w:val="outset" w:sz="6" w:space="0" w:color="414142"/>
              <w:left w:val="outset" w:sz="6" w:space="0" w:color="414142"/>
              <w:bottom w:val="outset" w:sz="6" w:space="0" w:color="414142"/>
              <w:right w:val="outset" w:sz="6" w:space="0" w:color="414142"/>
            </w:tcBorders>
          </w:tcPr>
          <w:p w14:paraId="6507F9B0" w14:textId="37F3D40A" w:rsidR="007723BA" w:rsidRPr="009E1D14" w:rsidRDefault="0049592B" w:rsidP="009E1D14">
            <w:pPr>
              <w:shd w:val="clear" w:color="auto" w:fill="FFFFFF"/>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Līdz 2020.gada 7.septembrim </w:t>
            </w:r>
            <w:r w:rsidRPr="000A0240">
              <w:rPr>
                <w:rFonts w:ascii="Times New Roman" w:eastAsia="Times New Roman" w:hAnsi="Times New Roman" w:cs="Times New Roman"/>
                <w:bCs/>
                <w:sz w:val="24"/>
                <w:szCs w:val="24"/>
                <w:lang w:eastAsia="lv-LV"/>
              </w:rPr>
              <w:t xml:space="preserve">Ministru kabineta noteikumu </w:t>
            </w:r>
            <w:r>
              <w:rPr>
                <w:rFonts w:ascii="Times New Roman" w:eastAsia="Times New Roman" w:hAnsi="Times New Roman" w:cs="Times New Roman"/>
                <w:bCs/>
                <w:sz w:val="24"/>
                <w:szCs w:val="24"/>
                <w:lang w:eastAsia="lv-LV"/>
              </w:rPr>
              <w:t xml:space="preserve">projekts </w:t>
            </w:r>
            <w:r w:rsidRPr="00B914B5">
              <w:rPr>
                <w:rFonts w:ascii="Times New Roman" w:eastAsia="Times New Roman" w:hAnsi="Times New Roman" w:cs="Times New Roman"/>
                <w:sz w:val="24"/>
                <w:szCs w:val="24"/>
                <w:lang w:eastAsia="lv-LV"/>
              </w:rPr>
              <w:t>„</w:t>
            </w:r>
            <w:r w:rsidRPr="009B7740">
              <w:rPr>
                <w:rFonts w:ascii="Times New Roman" w:eastAsia="Times New Roman" w:hAnsi="Times New Roman" w:cs="Times New Roman"/>
                <w:sz w:val="24"/>
                <w:szCs w:val="24"/>
                <w:lang w:eastAsia="lv-LV"/>
              </w:rPr>
              <w:t>Grozījumi</w:t>
            </w:r>
            <w:r w:rsidRPr="009B7740">
              <w:rPr>
                <w:rFonts w:ascii="Times New Roman" w:hAnsi="Times New Roman" w:cs="Times New Roman"/>
                <w:sz w:val="24"/>
                <w:szCs w:val="24"/>
              </w:rPr>
              <w:t xml:space="preserve"> </w:t>
            </w:r>
            <w:r>
              <w:rPr>
                <w:rFonts w:ascii="Times New Roman" w:hAnsi="Times New Roman" w:cs="Times New Roman"/>
                <w:sz w:val="24"/>
                <w:szCs w:val="24"/>
              </w:rPr>
              <w:t>Ministru kabineta 2019.gada 10.decembra noteikumos Nr. 641 “</w:t>
            </w:r>
            <w:r w:rsidRPr="009B7740">
              <w:rPr>
                <w:rFonts w:ascii="Times New Roman" w:hAnsi="Times New Roman" w:cs="Times New Roman"/>
                <w:sz w:val="24"/>
                <w:szCs w:val="24"/>
              </w:rPr>
              <w:t>Zāļu valsts aģentūras maksas pakalpojumu cenrādis</w:t>
            </w:r>
            <w:r w:rsidRPr="009B774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atradās publiskajā apspriedē Veselības ministrijas mājas lapā.</w:t>
            </w:r>
          </w:p>
        </w:tc>
      </w:tr>
      <w:tr w:rsidR="007723BA" w:rsidRPr="003429ED" w14:paraId="2AFF59F1" w14:textId="77777777" w:rsidTr="00630627">
        <w:trPr>
          <w:trHeight w:val="264"/>
          <w:jc w:val="center"/>
        </w:trPr>
        <w:tc>
          <w:tcPr>
            <w:tcW w:w="260" w:type="pct"/>
            <w:tcBorders>
              <w:top w:val="outset" w:sz="6" w:space="0" w:color="414142"/>
              <w:left w:val="outset" w:sz="6" w:space="0" w:color="414142"/>
              <w:bottom w:val="outset" w:sz="6" w:space="0" w:color="414142"/>
              <w:right w:val="outset" w:sz="6" w:space="0" w:color="414142"/>
            </w:tcBorders>
            <w:hideMark/>
          </w:tcPr>
          <w:p w14:paraId="49C98504"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lastRenderedPageBreak/>
              <w:t>2.</w:t>
            </w:r>
          </w:p>
        </w:tc>
        <w:tc>
          <w:tcPr>
            <w:tcW w:w="1502" w:type="pct"/>
            <w:tcBorders>
              <w:top w:val="outset" w:sz="6" w:space="0" w:color="414142"/>
              <w:left w:val="outset" w:sz="6" w:space="0" w:color="414142"/>
              <w:bottom w:val="outset" w:sz="6" w:space="0" w:color="414142"/>
              <w:right w:val="outset" w:sz="6" w:space="0" w:color="414142"/>
            </w:tcBorders>
            <w:hideMark/>
          </w:tcPr>
          <w:p w14:paraId="5300B468"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Sabiedrības līdzdalība projekta izstrādē</w:t>
            </w:r>
          </w:p>
        </w:tc>
        <w:tc>
          <w:tcPr>
            <w:tcW w:w="3238" w:type="pct"/>
            <w:tcBorders>
              <w:top w:val="outset" w:sz="6" w:space="0" w:color="414142"/>
              <w:left w:val="outset" w:sz="6" w:space="0" w:color="414142"/>
              <w:bottom w:val="outset" w:sz="6" w:space="0" w:color="414142"/>
              <w:right w:val="outset" w:sz="6" w:space="0" w:color="414142"/>
            </w:tcBorders>
            <w:hideMark/>
          </w:tcPr>
          <w:p w14:paraId="7F5C25CF" w14:textId="412F0A12" w:rsidR="00AC7F3F" w:rsidRPr="009E1D14" w:rsidRDefault="0049592B" w:rsidP="00AC7F3F">
            <w:pPr>
              <w:spacing w:after="0" w:line="240" w:lineRule="auto"/>
              <w:jc w:val="both"/>
              <w:rPr>
                <w:rFonts w:ascii="Times New Roman" w:hAnsi="Times New Roman" w:cs="Times New Roman"/>
                <w:sz w:val="24"/>
                <w:szCs w:val="24"/>
              </w:rPr>
            </w:pPr>
            <w:r w:rsidRPr="009E1D14">
              <w:rPr>
                <w:rFonts w:ascii="Times New Roman" w:hAnsi="Times New Roman" w:cs="Times New Roman"/>
                <w:sz w:val="24"/>
                <w:szCs w:val="24"/>
              </w:rPr>
              <w:t>Publiskās apspriedes laikā</w:t>
            </w:r>
            <w:r w:rsidR="00ED7EC9">
              <w:rPr>
                <w:rFonts w:ascii="Times New Roman" w:hAnsi="Times New Roman" w:cs="Times New Roman"/>
                <w:sz w:val="24"/>
                <w:szCs w:val="24"/>
              </w:rPr>
              <w:t xml:space="preserve"> (no 2020.gada 13.augusta – 2020.gada 7.septembrim) </w:t>
            </w:r>
            <w:r w:rsidRPr="009E1D14">
              <w:rPr>
                <w:rFonts w:ascii="Times New Roman" w:hAnsi="Times New Roman" w:cs="Times New Roman"/>
                <w:sz w:val="24"/>
                <w:szCs w:val="24"/>
              </w:rPr>
              <w:t>tika saņemts priekšlikums no Biedrība „Biofarmaceitisko zāļu ražotāju asociācija Latvijā”</w:t>
            </w:r>
            <w:r w:rsidR="00ED7EC9">
              <w:rPr>
                <w:rFonts w:ascii="Times New Roman" w:hAnsi="Times New Roman" w:cs="Times New Roman"/>
                <w:sz w:val="24"/>
                <w:szCs w:val="24"/>
              </w:rPr>
              <w:t xml:space="preserve"> (BRAL)</w:t>
            </w:r>
            <w:r w:rsidR="00AC7F3F" w:rsidRPr="009E1D14">
              <w:rPr>
                <w:rFonts w:ascii="Times New Roman" w:hAnsi="Times New Roman" w:cs="Times New Roman"/>
                <w:sz w:val="24"/>
                <w:szCs w:val="24"/>
              </w:rPr>
              <w:t>, kuri lūdza papildināt Cenrāža projekta pielikumu ar 69. punktu šādā redakcijā:</w:t>
            </w:r>
          </w:p>
          <w:p w14:paraId="5D15DE55" w14:textId="1F6DD818" w:rsidR="007723BA" w:rsidRPr="009E1D14" w:rsidRDefault="00AC7F3F" w:rsidP="00630627">
            <w:pPr>
              <w:spacing w:after="0" w:line="240" w:lineRule="auto"/>
              <w:jc w:val="both"/>
              <w:rPr>
                <w:rFonts w:ascii="Times New Roman" w:hAnsi="Times New Roman" w:cs="Times New Roman"/>
              </w:rPr>
            </w:pPr>
            <w:r w:rsidRPr="009E1D14">
              <w:rPr>
                <w:rFonts w:ascii="Times New Roman" w:hAnsi="Times New Roman" w:cs="Times New Roman"/>
                <w:sz w:val="24"/>
                <w:szCs w:val="24"/>
              </w:rPr>
              <w:t>"69.</w:t>
            </w:r>
            <w:r w:rsidRPr="009E1D14">
              <w:rPr>
                <w:rFonts w:ascii="Times New Roman" w:hAnsi="Times New Roman" w:cs="Times New Roman"/>
                <w:sz w:val="24"/>
                <w:szCs w:val="24"/>
              </w:rPr>
              <w:tab/>
              <w:t>Atkārtota atzinuma sniegšana par zāļu ārstniecisko un ekonomisko izmaksu efektivitāti vai par medicīnisko ierīču izmaksu efektivitāti - 1 atzinums</w:t>
            </w:r>
            <w:r w:rsidRPr="009E1D14">
              <w:rPr>
                <w:rFonts w:ascii="Times New Roman" w:hAnsi="Times New Roman" w:cs="Times New Roman"/>
                <w:sz w:val="24"/>
                <w:szCs w:val="24"/>
              </w:rPr>
              <w:tab/>
              <w:t>par 840,74 euro.</w:t>
            </w:r>
          </w:p>
        </w:tc>
      </w:tr>
      <w:tr w:rsidR="007723BA" w:rsidRPr="003429ED" w14:paraId="382B02FA" w14:textId="77777777" w:rsidTr="00630627">
        <w:trPr>
          <w:trHeight w:val="372"/>
          <w:jc w:val="center"/>
        </w:trPr>
        <w:tc>
          <w:tcPr>
            <w:tcW w:w="260" w:type="pct"/>
            <w:tcBorders>
              <w:top w:val="outset" w:sz="6" w:space="0" w:color="414142"/>
              <w:left w:val="outset" w:sz="6" w:space="0" w:color="414142"/>
              <w:bottom w:val="outset" w:sz="6" w:space="0" w:color="414142"/>
              <w:right w:val="outset" w:sz="6" w:space="0" w:color="414142"/>
            </w:tcBorders>
            <w:hideMark/>
          </w:tcPr>
          <w:p w14:paraId="212A3E15"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3.</w:t>
            </w:r>
          </w:p>
        </w:tc>
        <w:tc>
          <w:tcPr>
            <w:tcW w:w="1502" w:type="pct"/>
            <w:tcBorders>
              <w:top w:val="outset" w:sz="6" w:space="0" w:color="414142"/>
              <w:left w:val="outset" w:sz="6" w:space="0" w:color="414142"/>
              <w:bottom w:val="outset" w:sz="6" w:space="0" w:color="414142"/>
              <w:right w:val="outset" w:sz="6" w:space="0" w:color="414142"/>
            </w:tcBorders>
            <w:hideMark/>
          </w:tcPr>
          <w:p w14:paraId="6C9C62B3"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Sabiedrības līdzdalības rezultāti</w:t>
            </w:r>
          </w:p>
        </w:tc>
        <w:tc>
          <w:tcPr>
            <w:tcW w:w="3238" w:type="pct"/>
            <w:tcBorders>
              <w:top w:val="outset" w:sz="6" w:space="0" w:color="414142"/>
              <w:left w:val="outset" w:sz="6" w:space="0" w:color="414142"/>
              <w:bottom w:val="outset" w:sz="6" w:space="0" w:color="414142"/>
              <w:right w:val="outset" w:sz="6" w:space="0" w:color="414142"/>
            </w:tcBorders>
            <w:hideMark/>
          </w:tcPr>
          <w:p w14:paraId="28243070" w14:textId="1DE14583" w:rsidR="00AC7F3F" w:rsidRPr="009E1D14" w:rsidRDefault="007723BA" w:rsidP="00AC7F3F">
            <w:pPr>
              <w:spacing w:after="0" w:line="240" w:lineRule="auto"/>
              <w:jc w:val="both"/>
              <w:rPr>
                <w:rFonts w:ascii="Times New Roman" w:hAnsi="Times New Roman" w:cs="Times New Roman"/>
                <w:sz w:val="24"/>
                <w:szCs w:val="24"/>
              </w:rPr>
            </w:pPr>
            <w:r w:rsidRPr="009E1D14">
              <w:rPr>
                <w:rFonts w:ascii="Times New Roman" w:hAnsi="Times New Roman" w:cs="Times New Roman"/>
                <w:sz w:val="24"/>
                <w:szCs w:val="24"/>
              </w:rPr>
              <w:t xml:space="preserve"> </w:t>
            </w:r>
            <w:r w:rsidR="00AC7F3F" w:rsidRPr="009E1D14">
              <w:rPr>
                <w:rFonts w:ascii="Times New Roman" w:hAnsi="Times New Roman" w:cs="Times New Roman"/>
                <w:sz w:val="24"/>
                <w:szCs w:val="24"/>
              </w:rPr>
              <w:t>BRAL</w:t>
            </w:r>
            <w:r w:rsidR="00AC7F3F" w:rsidRPr="009E1D14" w:rsidDel="00AC7F3F">
              <w:rPr>
                <w:rFonts w:ascii="Times New Roman" w:hAnsi="Times New Roman" w:cs="Times New Roman"/>
                <w:sz w:val="24"/>
                <w:szCs w:val="24"/>
              </w:rPr>
              <w:t xml:space="preserve"> </w:t>
            </w:r>
            <w:r w:rsidR="00AC7F3F" w:rsidRPr="009E1D14">
              <w:rPr>
                <w:rFonts w:ascii="Times New Roman" w:hAnsi="Times New Roman" w:cs="Times New Roman"/>
                <w:sz w:val="24"/>
                <w:szCs w:val="24"/>
              </w:rPr>
              <w:t>iesniegto priekšlikumu neatbalst</w:t>
            </w:r>
            <w:r w:rsidR="00BD3BF2">
              <w:rPr>
                <w:rFonts w:ascii="Times New Roman" w:hAnsi="Times New Roman" w:cs="Times New Roman"/>
                <w:sz w:val="24"/>
                <w:szCs w:val="24"/>
              </w:rPr>
              <w:t>ā</w:t>
            </w:r>
            <w:r w:rsidR="00AC7F3F" w:rsidRPr="009E1D14">
              <w:rPr>
                <w:rFonts w:ascii="Times New Roman" w:hAnsi="Times New Roman" w:cs="Times New Roman"/>
                <w:sz w:val="24"/>
                <w:szCs w:val="24"/>
              </w:rPr>
              <w:t>m, jo atkarībā no Zāļu valsts aģentūras atzinumā minētajiem trūkumiem, apsvērumiem, izdarītajiem secinājumiem un laika, kurš pagājis no atzinuma sagatavošanas brīža, atkārtota iesnieguma gadījumā, salīdzinot ar sākotnējo iesniegumu, var būt ļoti atšķirīgs papildinājumu vai izmaiņu apjoms, piemēram:</w:t>
            </w:r>
          </w:p>
          <w:p w14:paraId="0F62EF77" w14:textId="77777777" w:rsidR="00AC7F3F" w:rsidRPr="009E1D14" w:rsidRDefault="00AC7F3F" w:rsidP="00AC7F3F">
            <w:pPr>
              <w:spacing w:after="0" w:line="240" w:lineRule="auto"/>
              <w:rPr>
                <w:rFonts w:ascii="Times New Roman" w:hAnsi="Times New Roman" w:cs="Times New Roman"/>
                <w:sz w:val="24"/>
                <w:szCs w:val="24"/>
              </w:rPr>
            </w:pPr>
            <w:r w:rsidRPr="009E1D14">
              <w:rPr>
                <w:rFonts w:ascii="Times New Roman" w:hAnsi="Times New Roman" w:cs="Times New Roman"/>
                <w:sz w:val="24"/>
                <w:szCs w:val="24"/>
              </w:rPr>
              <w:t>-</w:t>
            </w:r>
            <w:r w:rsidRPr="009E1D14">
              <w:rPr>
                <w:rFonts w:ascii="Times New Roman" w:hAnsi="Times New Roman" w:cs="Times New Roman"/>
                <w:sz w:val="24"/>
                <w:szCs w:val="24"/>
              </w:rPr>
              <w:tab/>
              <w:t xml:space="preserve">mainījušās klīniskās vadlīnijas, </w:t>
            </w:r>
          </w:p>
          <w:p w14:paraId="6189533D" w14:textId="77777777" w:rsidR="00AC7F3F" w:rsidRPr="009E1D14" w:rsidRDefault="00AC7F3F" w:rsidP="00AC7F3F">
            <w:pPr>
              <w:spacing w:after="0" w:line="240" w:lineRule="auto"/>
              <w:rPr>
                <w:rFonts w:ascii="Times New Roman" w:hAnsi="Times New Roman" w:cs="Times New Roman"/>
                <w:sz w:val="24"/>
                <w:szCs w:val="24"/>
              </w:rPr>
            </w:pPr>
            <w:r w:rsidRPr="009E1D14">
              <w:rPr>
                <w:rFonts w:ascii="Times New Roman" w:hAnsi="Times New Roman" w:cs="Times New Roman"/>
                <w:sz w:val="24"/>
                <w:szCs w:val="24"/>
              </w:rPr>
              <w:t>-</w:t>
            </w:r>
            <w:r w:rsidRPr="009E1D14">
              <w:rPr>
                <w:rFonts w:ascii="Times New Roman" w:hAnsi="Times New Roman" w:cs="Times New Roman"/>
                <w:sz w:val="24"/>
                <w:szCs w:val="24"/>
              </w:rPr>
              <w:tab/>
              <w:t>pieejamas jaunas klīnisko pētījumu publikācijas,</w:t>
            </w:r>
          </w:p>
          <w:p w14:paraId="6C4B2F0A" w14:textId="77777777" w:rsidR="00AC7F3F" w:rsidRPr="009E1D14" w:rsidRDefault="00AC7F3F" w:rsidP="00AC7F3F">
            <w:pPr>
              <w:spacing w:after="0" w:line="240" w:lineRule="auto"/>
              <w:rPr>
                <w:rFonts w:ascii="Times New Roman" w:hAnsi="Times New Roman" w:cs="Times New Roman"/>
                <w:sz w:val="24"/>
                <w:szCs w:val="24"/>
              </w:rPr>
            </w:pPr>
            <w:r w:rsidRPr="009E1D14">
              <w:rPr>
                <w:rFonts w:ascii="Times New Roman" w:hAnsi="Times New Roman" w:cs="Times New Roman"/>
                <w:sz w:val="24"/>
                <w:szCs w:val="24"/>
              </w:rPr>
              <w:t>-</w:t>
            </w:r>
            <w:r w:rsidRPr="009E1D14">
              <w:rPr>
                <w:rFonts w:ascii="Times New Roman" w:hAnsi="Times New Roman" w:cs="Times New Roman"/>
                <w:sz w:val="24"/>
                <w:szCs w:val="24"/>
              </w:rPr>
              <w:tab/>
              <w:t xml:space="preserve">mainīta vērtējamo un/ vai salīdzināmo zāļu cena un/ vai finansiālās līdzdalības piedāvājums, </w:t>
            </w:r>
          </w:p>
          <w:p w14:paraId="1B587158" w14:textId="77777777" w:rsidR="00AC7F3F" w:rsidRPr="009E1D14" w:rsidRDefault="00AC7F3F" w:rsidP="00AC7F3F">
            <w:pPr>
              <w:spacing w:after="0" w:line="240" w:lineRule="auto"/>
              <w:rPr>
                <w:rFonts w:ascii="Times New Roman" w:hAnsi="Times New Roman" w:cs="Times New Roman"/>
                <w:sz w:val="24"/>
                <w:szCs w:val="24"/>
              </w:rPr>
            </w:pPr>
            <w:r w:rsidRPr="009E1D14">
              <w:rPr>
                <w:rFonts w:ascii="Times New Roman" w:hAnsi="Times New Roman" w:cs="Times New Roman"/>
                <w:sz w:val="24"/>
                <w:szCs w:val="24"/>
              </w:rPr>
              <w:t>-</w:t>
            </w:r>
            <w:r w:rsidRPr="009E1D14">
              <w:rPr>
                <w:rFonts w:ascii="Times New Roman" w:hAnsi="Times New Roman" w:cs="Times New Roman"/>
                <w:sz w:val="24"/>
                <w:szCs w:val="24"/>
              </w:rPr>
              <w:tab/>
              <w:t>mainīta pacientu grupa,</w:t>
            </w:r>
          </w:p>
          <w:p w14:paraId="2B010739" w14:textId="77777777" w:rsidR="00AC7F3F" w:rsidRPr="009E1D14" w:rsidRDefault="00AC7F3F" w:rsidP="00AC7F3F">
            <w:pPr>
              <w:spacing w:after="0" w:line="240" w:lineRule="auto"/>
              <w:rPr>
                <w:rFonts w:ascii="Times New Roman" w:hAnsi="Times New Roman" w:cs="Times New Roman"/>
                <w:sz w:val="24"/>
                <w:szCs w:val="24"/>
              </w:rPr>
            </w:pPr>
            <w:r w:rsidRPr="009E1D14">
              <w:rPr>
                <w:rFonts w:ascii="Times New Roman" w:hAnsi="Times New Roman" w:cs="Times New Roman"/>
                <w:sz w:val="24"/>
                <w:szCs w:val="24"/>
              </w:rPr>
              <w:t>-</w:t>
            </w:r>
            <w:r w:rsidRPr="009E1D14">
              <w:rPr>
                <w:rFonts w:ascii="Times New Roman" w:hAnsi="Times New Roman" w:cs="Times New Roman"/>
                <w:sz w:val="24"/>
                <w:szCs w:val="24"/>
              </w:rPr>
              <w:tab/>
              <w:t xml:space="preserve">mainīta salīdzinošā terapija, </w:t>
            </w:r>
          </w:p>
          <w:p w14:paraId="46835A46" w14:textId="79703B8F" w:rsidR="007723BA" w:rsidRPr="009E1D14" w:rsidRDefault="00AC7F3F" w:rsidP="00AC7F3F">
            <w:pPr>
              <w:spacing w:after="0" w:line="240" w:lineRule="auto"/>
              <w:jc w:val="both"/>
              <w:rPr>
                <w:rFonts w:ascii="Times New Roman" w:hAnsi="Times New Roman" w:cs="Times New Roman"/>
                <w:sz w:val="24"/>
                <w:szCs w:val="24"/>
              </w:rPr>
            </w:pPr>
            <w:r w:rsidRPr="009E1D14">
              <w:rPr>
                <w:rFonts w:ascii="Times New Roman" w:hAnsi="Times New Roman" w:cs="Times New Roman"/>
                <w:sz w:val="24"/>
                <w:szCs w:val="24"/>
              </w:rPr>
              <w:t>kā rezultātā tiek precizēti vai arī daļēji vai pilnībā pārstrādāti farmakoekonomiskie aprēķini. Līdz ar to atkārtota iesnieguma gadījumā vērtējamās informācijas apjoms var pārsniegt to.</w:t>
            </w:r>
          </w:p>
        </w:tc>
      </w:tr>
      <w:tr w:rsidR="007723BA" w:rsidRPr="003429ED" w14:paraId="628AF808" w14:textId="77777777" w:rsidTr="00630627">
        <w:trPr>
          <w:trHeight w:val="372"/>
          <w:jc w:val="center"/>
        </w:trPr>
        <w:tc>
          <w:tcPr>
            <w:tcW w:w="260" w:type="pct"/>
            <w:tcBorders>
              <w:top w:val="outset" w:sz="6" w:space="0" w:color="414142"/>
              <w:left w:val="outset" w:sz="6" w:space="0" w:color="414142"/>
              <w:bottom w:val="outset" w:sz="6" w:space="0" w:color="414142"/>
              <w:right w:val="outset" w:sz="6" w:space="0" w:color="414142"/>
            </w:tcBorders>
            <w:hideMark/>
          </w:tcPr>
          <w:p w14:paraId="651DF89A"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4.</w:t>
            </w:r>
          </w:p>
        </w:tc>
        <w:tc>
          <w:tcPr>
            <w:tcW w:w="1502" w:type="pct"/>
            <w:tcBorders>
              <w:top w:val="outset" w:sz="6" w:space="0" w:color="414142"/>
              <w:left w:val="outset" w:sz="6" w:space="0" w:color="414142"/>
              <w:bottom w:val="outset" w:sz="6" w:space="0" w:color="414142"/>
              <w:right w:val="outset" w:sz="6" w:space="0" w:color="414142"/>
            </w:tcBorders>
            <w:hideMark/>
          </w:tcPr>
          <w:p w14:paraId="49D7063C"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Cita informācija</w:t>
            </w:r>
          </w:p>
        </w:tc>
        <w:tc>
          <w:tcPr>
            <w:tcW w:w="3238" w:type="pct"/>
            <w:tcBorders>
              <w:top w:val="outset" w:sz="6" w:space="0" w:color="414142"/>
              <w:left w:val="outset" w:sz="6" w:space="0" w:color="414142"/>
              <w:bottom w:val="outset" w:sz="6" w:space="0" w:color="414142"/>
              <w:right w:val="outset" w:sz="6" w:space="0" w:color="414142"/>
            </w:tcBorders>
            <w:hideMark/>
          </w:tcPr>
          <w:p w14:paraId="591700EA" w14:textId="77777777" w:rsidR="007723BA" w:rsidRPr="003429ED" w:rsidRDefault="007723BA" w:rsidP="0063062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085A41BF" w14:textId="77777777" w:rsidR="007723BA" w:rsidRPr="00894C55" w:rsidRDefault="007723BA" w:rsidP="007723BA">
      <w:pPr>
        <w:shd w:val="clear" w:color="auto" w:fill="FFFFFF"/>
        <w:spacing w:after="0" w:line="240" w:lineRule="auto"/>
        <w:rPr>
          <w:rFonts w:ascii="Times New Roman" w:eastAsia="Times New Roman" w:hAnsi="Times New Roman" w:cs="Times New Roman"/>
          <w:color w:val="414142"/>
          <w:sz w:val="24"/>
          <w:szCs w:val="24"/>
          <w:lang w:eastAsia="lv-LV"/>
        </w:rPr>
      </w:pPr>
    </w:p>
    <w:tbl>
      <w:tblPr>
        <w:tblW w:w="5318"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58"/>
        <w:gridCol w:w="4211"/>
        <w:gridCol w:w="4862"/>
      </w:tblGrid>
      <w:tr w:rsidR="007723BA" w:rsidRPr="006E52FA" w14:paraId="4BAF7D86" w14:textId="77777777" w:rsidTr="00630627">
        <w:trPr>
          <w:trHeight w:val="30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998F303" w14:textId="77777777" w:rsidR="007723BA" w:rsidRPr="006E52FA" w:rsidRDefault="007723BA" w:rsidP="00630627">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6E52FA">
              <w:rPr>
                <w:rFonts w:ascii="Times New Roman" w:eastAsia="Times New Roman" w:hAnsi="Times New Roman" w:cs="Times New Roman"/>
                <w:b/>
                <w:bCs/>
                <w:sz w:val="24"/>
                <w:szCs w:val="24"/>
                <w:lang w:eastAsia="lv-LV"/>
              </w:rPr>
              <w:t>VII. Tiesību akta projekta izpildes nodrošināšana un tās ietekme uz institūcijām</w:t>
            </w:r>
          </w:p>
        </w:tc>
      </w:tr>
      <w:tr w:rsidR="007723BA" w:rsidRPr="006E52FA" w14:paraId="16154AAD" w14:textId="77777777" w:rsidTr="00630627">
        <w:trPr>
          <w:trHeight w:val="336"/>
          <w:jc w:val="center"/>
        </w:trPr>
        <w:tc>
          <w:tcPr>
            <w:tcW w:w="290" w:type="pct"/>
            <w:tcBorders>
              <w:top w:val="outset" w:sz="6" w:space="0" w:color="414142"/>
              <w:left w:val="outset" w:sz="6" w:space="0" w:color="414142"/>
              <w:bottom w:val="outset" w:sz="6" w:space="0" w:color="414142"/>
              <w:right w:val="outset" w:sz="6" w:space="0" w:color="414142"/>
            </w:tcBorders>
            <w:hideMark/>
          </w:tcPr>
          <w:p w14:paraId="266F69CE" w14:textId="77777777" w:rsidR="007723BA" w:rsidRPr="006E52FA" w:rsidRDefault="007723BA" w:rsidP="00630627">
            <w:pPr>
              <w:spacing w:after="0" w:line="240" w:lineRule="auto"/>
              <w:rPr>
                <w:rFonts w:ascii="Times New Roman" w:eastAsia="Times New Roman" w:hAnsi="Times New Roman" w:cs="Times New Roman"/>
                <w:sz w:val="24"/>
                <w:szCs w:val="24"/>
                <w:lang w:eastAsia="lv-LV"/>
              </w:rPr>
            </w:pPr>
            <w:r w:rsidRPr="006E52FA">
              <w:rPr>
                <w:rFonts w:ascii="Times New Roman" w:eastAsia="Times New Roman" w:hAnsi="Times New Roman" w:cs="Times New Roman"/>
                <w:sz w:val="24"/>
                <w:szCs w:val="24"/>
                <w:lang w:eastAsia="lv-LV"/>
              </w:rPr>
              <w:t>1.</w:t>
            </w:r>
          </w:p>
        </w:tc>
        <w:tc>
          <w:tcPr>
            <w:tcW w:w="2186" w:type="pct"/>
            <w:tcBorders>
              <w:top w:val="outset" w:sz="6" w:space="0" w:color="414142"/>
              <w:left w:val="outset" w:sz="6" w:space="0" w:color="414142"/>
              <w:bottom w:val="outset" w:sz="6" w:space="0" w:color="414142"/>
              <w:right w:val="outset" w:sz="6" w:space="0" w:color="414142"/>
            </w:tcBorders>
            <w:hideMark/>
          </w:tcPr>
          <w:p w14:paraId="1B3ABB6F" w14:textId="77777777" w:rsidR="007723BA" w:rsidRPr="006E52FA" w:rsidRDefault="007723BA" w:rsidP="00630627">
            <w:pPr>
              <w:spacing w:after="0" w:line="240" w:lineRule="auto"/>
              <w:rPr>
                <w:rFonts w:ascii="Times New Roman" w:eastAsia="Times New Roman" w:hAnsi="Times New Roman" w:cs="Times New Roman"/>
                <w:sz w:val="24"/>
                <w:szCs w:val="24"/>
                <w:lang w:eastAsia="lv-LV"/>
              </w:rPr>
            </w:pPr>
            <w:r w:rsidRPr="006E52FA">
              <w:rPr>
                <w:rFonts w:ascii="Times New Roman" w:eastAsia="Times New Roman" w:hAnsi="Times New Roman" w:cs="Times New Roman"/>
                <w:sz w:val="24"/>
                <w:szCs w:val="24"/>
                <w:lang w:eastAsia="lv-LV"/>
              </w:rPr>
              <w:t>Projekta izpildē iesaistītās institūcijas</w:t>
            </w:r>
          </w:p>
        </w:tc>
        <w:tc>
          <w:tcPr>
            <w:tcW w:w="2524" w:type="pct"/>
            <w:tcBorders>
              <w:top w:val="outset" w:sz="6" w:space="0" w:color="414142"/>
              <w:left w:val="outset" w:sz="6" w:space="0" w:color="414142"/>
              <w:bottom w:val="outset" w:sz="6" w:space="0" w:color="414142"/>
              <w:right w:val="outset" w:sz="6" w:space="0" w:color="414142"/>
            </w:tcBorders>
            <w:hideMark/>
          </w:tcPr>
          <w:p w14:paraId="3735629F" w14:textId="4C3DBA65" w:rsidR="007723BA" w:rsidRPr="006E52FA" w:rsidRDefault="007723BA" w:rsidP="0063062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Zāļu valsts aģentūra</w:t>
            </w:r>
          </w:p>
        </w:tc>
      </w:tr>
      <w:tr w:rsidR="007723BA" w:rsidRPr="006E52FA" w14:paraId="2DAF5682" w14:textId="77777777" w:rsidTr="00630627">
        <w:trPr>
          <w:trHeight w:val="360"/>
          <w:jc w:val="center"/>
        </w:trPr>
        <w:tc>
          <w:tcPr>
            <w:tcW w:w="290" w:type="pct"/>
            <w:tcBorders>
              <w:top w:val="outset" w:sz="6" w:space="0" w:color="414142"/>
              <w:left w:val="outset" w:sz="6" w:space="0" w:color="414142"/>
              <w:bottom w:val="outset" w:sz="6" w:space="0" w:color="414142"/>
              <w:right w:val="outset" w:sz="6" w:space="0" w:color="414142"/>
            </w:tcBorders>
            <w:hideMark/>
          </w:tcPr>
          <w:p w14:paraId="49DE8B51" w14:textId="77777777" w:rsidR="007723BA" w:rsidRPr="006E52FA" w:rsidRDefault="007723BA" w:rsidP="00630627">
            <w:pPr>
              <w:spacing w:after="0" w:line="240" w:lineRule="auto"/>
              <w:rPr>
                <w:rFonts w:ascii="Times New Roman" w:eastAsia="Times New Roman" w:hAnsi="Times New Roman" w:cs="Times New Roman"/>
                <w:sz w:val="24"/>
                <w:szCs w:val="24"/>
                <w:lang w:eastAsia="lv-LV"/>
              </w:rPr>
            </w:pPr>
            <w:r w:rsidRPr="006E52FA">
              <w:rPr>
                <w:rFonts w:ascii="Times New Roman" w:eastAsia="Times New Roman" w:hAnsi="Times New Roman" w:cs="Times New Roman"/>
                <w:sz w:val="24"/>
                <w:szCs w:val="24"/>
                <w:lang w:eastAsia="lv-LV"/>
              </w:rPr>
              <w:t>2.</w:t>
            </w:r>
          </w:p>
        </w:tc>
        <w:tc>
          <w:tcPr>
            <w:tcW w:w="2186" w:type="pct"/>
            <w:tcBorders>
              <w:top w:val="outset" w:sz="6" w:space="0" w:color="414142"/>
              <w:left w:val="outset" w:sz="6" w:space="0" w:color="414142"/>
              <w:bottom w:val="outset" w:sz="6" w:space="0" w:color="414142"/>
              <w:right w:val="outset" w:sz="6" w:space="0" w:color="414142"/>
            </w:tcBorders>
            <w:hideMark/>
          </w:tcPr>
          <w:p w14:paraId="79936C4D" w14:textId="77777777" w:rsidR="007723BA" w:rsidRDefault="007723BA" w:rsidP="00630627">
            <w:pPr>
              <w:spacing w:after="0" w:line="240" w:lineRule="auto"/>
              <w:rPr>
                <w:rFonts w:ascii="Times New Roman" w:eastAsia="Times New Roman" w:hAnsi="Times New Roman" w:cs="Times New Roman"/>
                <w:sz w:val="24"/>
                <w:szCs w:val="24"/>
                <w:lang w:eastAsia="lv-LV"/>
              </w:rPr>
            </w:pPr>
            <w:r w:rsidRPr="006E52FA">
              <w:rPr>
                <w:rFonts w:ascii="Times New Roman" w:eastAsia="Times New Roman" w:hAnsi="Times New Roman" w:cs="Times New Roman"/>
                <w:sz w:val="24"/>
                <w:szCs w:val="24"/>
                <w:lang w:eastAsia="lv-LV"/>
              </w:rPr>
              <w:t>Projekta izpildes ietekme uz pārvaldes funkcijām un institucionālo struktūru.</w:t>
            </w:r>
            <w:r>
              <w:rPr>
                <w:rFonts w:ascii="Times New Roman" w:eastAsia="Times New Roman" w:hAnsi="Times New Roman" w:cs="Times New Roman"/>
                <w:sz w:val="24"/>
                <w:szCs w:val="24"/>
                <w:lang w:eastAsia="lv-LV"/>
              </w:rPr>
              <w:t xml:space="preserve"> </w:t>
            </w:r>
          </w:p>
          <w:p w14:paraId="27AEC9EC" w14:textId="77777777" w:rsidR="007723BA" w:rsidRPr="006E52FA" w:rsidRDefault="007723BA" w:rsidP="00630627">
            <w:pPr>
              <w:spacing w:after="0" w:line="240" w:lineRule="auto"/>
              <w:rPr>
                <w:rFonts w:ascii="Times New Roman" w:eastAsia="Times New Roman" w:hAnsi="Times New Roman" w:cs="Times New Roman"/>
                <w:sz w:val="24"/>
                <w:szCs w:val="24"/>
                <w:lang w:eastAsia="lv-LV"/>
              </w:rPr>
            </w:pPr>
            <w:r w:rsidRPr="006E52FA">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524" w:type="pct"/>
            <w:tcBorders>
              <w:top w:val="outset" w:sz="6" w:space="0" w:color="414142"/>
              <w:left w:val="outset" w:sz="6" w:space="0" w:color="414142"/>
              <w:bottom w:val="outset" w:sz="6" w:space="0" w:color="414142"/>
              <w:right w:val="outset" w:sz="6" w:space="0" w:color="414142"/>
            </w:tcBorders>
            <w:hideMark/>
          </w:tcPr>
          <w:p w14:paraId="4CB3ED9C" w14:textId="2266D3AA" w:rsidR="007723BA" w:rsidRPr="00E74A93" w:rsidRDefault="00E74A93" w:rsidP="00630627">
            <w:pPr>
              <w:pStyle w:val="NoSpacing"/>
              <w:jc w:val="both"/>
            </w:pPr>
            <w:r w:rsidRPr="00E74A93">
              <w:t>Projekts neietekmēs pārvaldes funkcijas un institucionālo struktūru. Jaunu institūciju izveide, esošo institūciju likvidācija vai reorganizācija nav paredzēta. Projekta izpilde tiks nodrošināta esošo cilvēkresursu ietvaros.</w:t>
            </w:r>
          </w:p>
        </w:tc>
      </w:tr>
      <w:tr w:rsidR="007723BA" w:rsidRPr="006E52FA" w14:paraId="7A12D867" w14:textId="77777777" w:rsidTr="00630627">
        <w:trPr>
          <w:trHeight w:val="312"/>
          <w:jc w:val="center"/>
        </w:trPr>
        <w:tc>
          <w:tcPr>
            <w:tcW w:w="290" w:type="pct"/>
            <w:tcBorders>
              <w:top w:val="outset" w:sz="6" w:space="0" w:color="414142"/>
              <w:left w:val="outset" w:sz="6" w:space="0" w:color="414142"/>
              <w:bottom w:val="outset" w:sz="6" w:space="0" w:color="414142"/>
              <w:right w:val="outset" w:sz="6" w:space="0" w:color="414142"/>
            </w:tcBorders>
            <w:hideMark/>
          </w:tcPr>
          <w:p w14:paraId="3A969517" w14:textId="77777777" w:rsidR="007723BA" w:rsidRPr="006E52FA" w:rsidRDefault="007723BA" w:rsidP="00630627">
            <w:pPr>
              <w:spacing w:after="0" w:line="240" w:lineRule="auto"/>
              <w:rPr>
                <w:rFonts w:ascii="Times New Roman" w:eastAsia="Times New Roman" w:hAnsi="Times New Roman" w:cs="Times New Roman"/>
                <w:sz w:val="24"/>
                <w:szCs w:val="24"/>
                <w:lang w:eastAsia="lv-LV"/>
              </w:rPr>
            </w:pPr>
            <w:r w:rsidRPr="006E52FA">
              <w:rPr>
                <w:rFonts w:ascii="Times New Roman" w:eastAsia="Times New Roman" w:hAnsi="Times New Roman" w:cs="Times New Roman"/>
                <w:sz w:val="24"/>
                <w:szCs w:val="24"/>
                <w:lang w:eastAsia="lv-LV"/>
              </w:rPr>
              <w:t>3.</w:t>
            </w:r>
          </w:p>
        </w:tc>
        <w:tc>
          <w:tcPr>
            <w:tcW w:w="2186" w:type="pct"/>
            <w:tcBorders>
              <w:top w:val="outset" w:sz="6" w:space="0" w:color="414142"/>
              <w:left w:val="outset" w:sz="6" w:space="0" w:color="414142"/>
              <w:bottom w:val="outset" w:sz="6" w:space="0" w:color="414142"/>
              <w:right w:val="outset" w:sz="6" w:space="0" w:color="414142"/>
            </w:tcBorders>
            <w:hideMark/>
          </w:tcPr>
          <w:p w14:paraId="3DE2615B" w14:textId="77777777" w:rsidR="007723BA" w:rsidRPr="006E52FA" w:rsidRDefault="007723BA" w:rsidP="00630627">
            <w:pPr>
              <w:spacing w:after="0" w:line="240" w:lineRule="auto"/>
              <w:rPr>
                <w:rFonts w:ascii="Times New Roman" w:eastAsia="Times New Roman" w:hAnsi="Times New Roman" w:cs="Times New Roman"/>
                <w:sz w:val="24"/>
                <w:szCs w:val="24"/>
                <w:lang w:eastAsia="lv-LV"/>
              </w:rPr>
            </w:pPr>
            <w:r w:rsidRPr="006E52FA">
              <w:rPr>
                <w:rFonts w:ascii="Times New Roman" w:eastAsia="Times New Roman" w:hAnsi="Times New Roman" w:cs="Times New Roman"/>
                <w:sz w:val="24"/>
                <w:szCs w:val="24"/>
                <w:lang w:eastAsia="lv-LV"/>
              </w:rPr>
              <w:t>Cita informācija</w:t>
            </w:r>
          </w:p>
        </w:tc>
        <w:tc>
          <w:tcPr>
            <w:tcW w:w="2524" w:type="pct"/>
            <w:tcBorders>
              <w:top w:val="outset" w:sz="6" w:space="0" w:color="414142"/>
              <w:left w:val="outset" w:sz="6" w:space="0" w:color="414142"/>
              <w:bottom w:val="outset" w:sz="6" w:space="0" w:color="414142"/>
              <w:right w:val="outset" w:sz="6" w:space="0" w:color="414142"/>
            </w:tcBorders>
            <w:hideMark/>
          </w:tcPr>
          <w:p w14:paraId="30BDBD45" w14:textId="131DA948" w:rsidR="007723BA" w:rsidRPr="006E52FA" w:rsidRDefault="007723BA" w:rsidP="00630627">
            <w:pPr>
              <w:spacing w:before="100" w:beforeAutospacing="1" w:after="100" w:afterAutospacing="1" w:line="293" w:lineRule="atLeast"/>
              <w:jc w:val="both"/>
              <w:rPr>
                <w:rFonts w:ascii="Times New Roman" w:eastAsia="Times New Roman" w:hAnsi="Times New Roman" w:cs="Times New Roman"/>
                <w:sz w:val="24"/>
                <w:szCs w:val="24"/>
                <w:lang w:eastAsia="lv-LV"/>
              </w:rPr>
            </w:pPr>
            <w:r>
              <w:rPr>
                <w:rFonts w:ascii="Times New Roman" w:hAnsi="Times New Roman" w:cs="Times New Roman"/>
                <w:sz w:val="24"/>
                <w:szCs w:val="24"/>
              </w:rPr>
              <w:t>Nav</w:t>
            </w:r>
            <w:r w:rsidR="00176AF9">
              <w:rPr>
                <w:rFonts w:ascii="Times New Roman" w:hAnsi="Times New Roman" w:cs="Times New Roman"/>
                <w:sz w:val="24"/>
                <w:szCs w:val="24"/>
              </w:rPr>
              <w:t>.</w:t>
            </w:r>
          </w:p>
        </w:tc>
      </w:tr>
    </w:tbl>
    <w:p w14:paraId="4004ED8A" w14:textId="77777777" w:rsidR="007723BA" w:rsidRDefault="007723BA" w:rsidP="007723BA">
      <w:pPr>
        <w:spacing w:after="0" w:line="240" w:lineRule="auto"/>
        <w:rPr>
          <w:rFonts w:ascii="Times New Roman" w:hAnsi="Times New Roman" w:cs="Times New Roman"/>
          <w:sz w:val="28"/>
          <w:szCs w:val="28"/>
        </w:rPr>
      </w:pPr>
    </w:p>
    <w:p w14:paraId="1819A65F" w14:textId="77777777" w:rsidR="007723BA" w:rsidRPr="00894C55" w:rsidRDefault="007723BA" w:rsidP="007723BA">
      <w:pPr>
        <w:spacing w:after="0" w:line="240" w:lineRule="auto"/>
        <w:rPr>
          <w:rFonts w:ascii="Times New Roman" w:hAnsi="Times New Roman" w:cs="Times New Roman"/>
          <w:sz w:val="28"/>
          <w:szCs w:val="28"/>
        </w:rPr>
      </w:pPr>
    </w:p>
    <w:p w14:paraId="2B1038D2" w14:textId="729C83F6" w:rsidR="007723BA" w:rsidRPr="0028487B" w:rsidRDefault="007723BA" w:rsidP="007723BA">
      <w:pPr>
        <w:tabs>
          <w:tab w:val="left" w:pos="7230"/>
        </w:tabs>
        <w:spacing w:after="0" w:line="240" w:lineRule="auto"/>
        <w:ind w:right="-765"/>
        <w:rPr>
          <w:rFonts w:ascii="Times New Roman" w:hAnsi="Times New Roman" w:cs="Times New Roman"/>
          <w:sz w:val="24"/>
          <w:szCs w:val="24"/>
        </w:rPr>
      </w:pPr>
      <w:r w:rsidRPr="0028487B">
        <w:rPr>
          <w:rFonts w:ascii="Times New Roman" w:hAnsi="Times New Roman" w:cs="Times New Roman"/>
          <w:sz w:val="24"/>
          <w:szCs w:val="24"/>
        </w:rPr>
        <w:t>Veselības ministr</w:t>
      </w:r>
      <w:r w:rsidR="00B2772C" w:rsidRPr="0028487B">
        <w:rPr>
          <w:rFonts w:ascii="Times New Roman" w:hAnsi="Times New Roman" w:cs="Times New Roman"/>
          <w:sz w:val="24"/>
          <w:szCs w:val="24"/>
        </w:rPr>
        <w:t>s</w:t>
      </w:r>
      <w:r w:rsidRPr="0028487B">
        <w:rPr>
          <w:rFonts w:ascii="Times New Roman" w:hAnsi="Times New Roman" w:cs="Times New Roman"/>
          <w:sz w:val="24"/>
          <w:szCs w:val="24"/>
        </w:rPr>
        <w:t xml:space="preserve"> </w:t>
      </w:r>
      <w:r w:rsidRPr="0028487B">
        <w:rPr>
          <w:rFonts w:ascii="Times New Roman" w:hAnsi="Times New Roman" w:cs="Times New Roman"/>
          <w:sz w:val="24"/>
          <w:szCs w:val="24"/>
        </w:rPr>
        <w:tab/>
      </w:r>
      <w:r w:rsidR="007B05B1" w:rsidRPr="0028487B">
        <w:rPr>
          <w:rFonts w:ascii="Times New Roman" w:hAnsi="Times New Roman" w:cs="Times New Roman"/>
          <w:sz w:val="24"/>
          <w:szCs w:val="24"/>
        </w:rPr>
        <w:t>D.Pavļuts</w:t>
      </w:r>
      <w:r w:rsidRPr="0028487B">
        <w:rPr>
          <w:rFonts w:ascii="Times New Roman" w:hAnsi="Times New Roman" w:cs="Times New Roman"/>
          <w:sz w:val="24"/>
          <w:szCs w:val="24"/>
        </w:rPr>
        <w:tab/>
      </w:r>
    </w:p>
    <w:p w14:paraId="28608D82" w14:textId="77777777" w:rsidR="007723BA" w:rsidRPr="0028487B" w:rsidRDefault="007723BA" w:rsidP="007723BA">
      <w:pPr>
        <w:tabs>
          <w:tab w:val="right" w:pos="9072"/>
        </w:tabs>
        <w:spacing w:after="0" w:line="240" w:lineRule="auto"/>
        <w:ind w:right="-1"/>
        <w:rPr>
          <w:rFonts w:ascii="Times New Roman" w:hAnsi="Times New Roman" w:cs="Times New Roman"/>
          <w:sz w:val="24"/>
          <w:szCs w:val="24"/>
        </w:rPr>
      </w:pPr>
    </w:p>
    <w:p w14:paraId="28FA21F6" w14:textId="12027863" w:rsidR="00AB43AB" w:rsidRPr="0028487B" w:rsidRDefault="007723BA" w:rsidP="0028487B">
      <w:pPr>
        <w:spacing w:after="0" w:line="240" w:lineRule="auto"/>
        <w:ind w:right="-1"/>
        <w:rPr>
          <w:rFonts w:ascii="Times New Roman" w:hAnsi="Times New Roman" w:cs="Times New Roman"/>
          <w:sz w:val="24"/>
          <w:szCs w:val="24"/>
        </w:rPr>
      </w:pPr>
      <w:r w:rsidRPr="0028487B">
        <w:rPr>
          <w:rFonts w:ascii="Times New Roman" w:hAnsi="Times New Roman" w:cs="Times New Roman"/>
          <w:sz w:val="24"/>
          <w:szCs w:val="24"/>
        </w:rPr>
        <w:t>V</w:t>
      </w:r>
      <w:r w:rsidR="00CF39FF">
        <w:rPr>
          <w:rFonts w:ascii="Times New Roman" w:hAnsi="Times New Roman" w:cs="Times New Roman"/>
          <w:sz w:val="24"/>
          <w:szCs w:val="24"/>
        </w:rPr>
        <w:t>ī</w:t>
      </w:r>
      <w:r w:rsidRPr="0028487B">
        <w:rPr>
          <w:rFonts w:ascii="Times New Roman" w:hAnsi="Times New Roman" w:cs="Times New Roman"/>
          <w:sz w:val="24"/>
          <w:szCs w:val="24"/>
        </w:rPr>
        <w:t xml:space="preserve">za: Valsts sekretāre                                                 </w:t>
      </w:r>
      <w:r w:rsidR="0028487B" w:rsidRPr="0028487B">
        <w:rPr>
          <w:rFonts w:ascii="Times New Roman" w:hAnsi="Times New Roman" w:cs="Times New Roman"/>
          <w:sz w:val="24"/>
          <w:szCs w:val="24"/>
        </w:rPr>
        <w:tab/>
      </w:r>
      <w:r w:rsidR="0028487B" w:rsidRPr="0028487B">
        <w:rPr>
          <w:rFonts w:ascii="Times New Roman" w:hAnsi="Times New Roman" w:cs="Times New Roman"/>
          <w:sz w:val="24"/>
          <w:szCs w:val="24"/>
        </w:rPr>
        <w:tab/>
      </w:r>
      <w:r w:rsidR="0028487B" w:rsidRPr="0028487B">
        <w:rPr>
          <w:rFonts w:ascii="Times New Roman" w:hAnsi="Times New Roman" w:cs="Times New Roman"/>
          <w:sz w:val="24"/>
          <w:szCs w:val="24"/>
        </w:rPr>
        <w:tab/>
        <w:t>I.Dreika</w:t>
      </w:r>
      <w:r w:rsidRPr="0028487B">
        <w:rPr>
          <w:rFonts w:ascii="Times New Roman" w:hAnsi="Times New Roman" w:cs="Times New Roman"/>
          <w:sz w:val="24"/>
          <w:szCs w:val="24"/>
        </w:rPr>
        <w:tab/>
        <w:t xml:space="preserve"> </w:t>
      </w:r>
    </w:p>
    <w:sectPr w:rsidR="00AB43AB" w:rsidRPr="0028487B" w:rsidSect="000C3BE5">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02238" w14:textId="77777777" w:rsidR="003B15FB" w:rsidRDefault="003B15FB" w:rsidP="007723BA">
      <w:pPr>
        <w:spacing w:after="0" w:line="240" w:lineRule="auto"/>
      </w:pPr>
      <w:r>
        <w:separator/>
      </w:r>
    </w:p>
  </w:endnote>
  <w:endnote w:type="continuationSeparator" w:id="0">
    <w:p w14:paraId="01CE3E4E" w14:textId="77777777" w:rsidR="003B15FB" w:rsidRDefault="003B15FB" w:rsidP="0077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4C2EC" w14:textId="0A0DD171" w:rsidR="008254DB" w:rsidRPr="00992EE5" w:rsidRDefault="00ED7156" w:rsidP="00992EE5">
    <w:pPr>
      <w:pStyle w:val="Footer"/>
    </w:pPr>
    <w:bookmarkStart w:id="0" w:name="_Hlk70519304"/>
    <w:bookmarkStart w:id="1" w:name="_Hlk70519305"/>
    <w:r>
      <w:rPr>
        <w:rFonts w:ascii="Times New Roman" w:hAnsi="Times New Roman" w:cs="Times New Roman"/>
        <w:sz w:val="20"/>
        <w:szCs w:val="20"/>
      </w:rPr>
      <w:t>VManot_</w:t>
    </w:r>
    <w:r w:rsidR="00CF39FF">
      <w:rPr>
        <w:rFonts w:ascii="Times New Roman" w:hAnsi="Times New Roman" w:cs="Times New Roman"/>
        <w:sz w:val="20"/>
        <w:szCs w:val="20"/>
      </w:rPr>
      <w:t>0908</w:t>
    </w:r>
    <w:r w:rsidR="00980486">
      <w:rPr>
        <w:rFonts w:ascii="Times New Roman" w:hAnsi="Times New Roman" w:cs="Times New Roman"/>
        <w:sz w:val="20"/>
        <w:szCs w:val="20"/>
      </w:rPr>
      <w:t>21</w:t>
    </w:r>
    <w:r>
      <w:rPr>
        <w:rFonts w:ascii="Times New Roman" w:hAnsi="Times New Roman" w:cs="Times New Roman"/>
        <w:sz w:val="20"/>
        <w:szCs w:val="20"/>
      </w:rPr>
      <w:t>_ZV</w:t>
    </w:r>
    <w:r w:rsidR="00051AC7">
      <w:rPr>
        <w:rFonts w:ascii="Times New Roman" w:hAnsi="Times New Roman" w:cs="Times New Roman"/>
        <w:sz w:val="20"/>
        <w:szCs w:val="20"/>
      </w:rPr>
      <w:t>ACenradis</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59689" w14:textId="4F288735" w:rsidR="00051AC7" w:rsidRPr="00992EE5" w:rsidRDefault="00051AC7" w:rsidP="00051AC7">
    <w:pPr>
      <w:pStyle w:val="Footer"/>
    </w:pPr>
    <w:r>
      <w:rPr>
        <w:rFonts w:ascii="Times New Roman" w:hAnsi="Times New Roman" w:cs="Times New Roman"/>
        <w:sz w:val="20"/>
        <w:szCs w:val="20"/>
      </w:rPr>
      <w:t>VManot_</w:t>
    </w:r>
    <w:r w:rsidR="00CF39FF">
      <w:rPr>
        <w:rFonts w:ascii="Times New Roman" w:hAnsi="Times New Roman" w:cs="Times New Roman"/>
        <w:sz w:val="20"/>
        <w:szCs w:val="20"/>
      </w:rPr>
      <w:t>0908</w:t>
    </w:r>
    <w:r>
      <w:rPr>
        <w:rFonts w:ascii="Times New Roman" w:hAnsi="Times New Roman" w:cs="Times New Roman"/>
        <w:sz w:val="20"/>
        <w:szCs w:val="20"/>
      </w:rPr>
      <w:t>21_ZVACenradis</w:t>
    </w:r>
  </w:p>
  <w:p w14:paraId="105E6FD6" w14:textId="2DBBC65F" w:rsidR="008254DB" w:rsidRPr="007723BA" w:rsidRDefault="00FB0086" w:rsidP="00772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27E8D" w14:textId="77777777" w:rsidR="003B15FB" w:rsidRDefault="003B15FB" w:rsidP="007723BA">
      <w:pPr>
        <w:spacing w:after="0" w:line="240" w:lineRule="auto"/>
      </w:pPr>
      <w:r>
        <w:separator/>
      </w:r>
    </w:p>
  </w:footnote>
  <w:footnote w:type="continuationSeparator" w:id="0">
    <w:p w14:paraId="461500A0" w14:textId="77777777" w:rsidR="003B15FB" w:rsidRDefault="003B15FB" w:rsidP="00772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84F583F" w14:textId="17C8677E" w:rsidR="008254DB" w:rsidRPr="00C25B49" w:rsidRDefault="00ED7156">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487F1A">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34"/>
    <w:rsid w:val="00001ED2"/>
    <w:rsid w:val="00004E8B"/>
    <w:rsid w:val="000238BD"/>
    <w:rsid w:val="00027954"/>
    <w:rsid w:val="000311F1"/>
    <w:rsid w:val="00051AC7"/>
    <w:rsid w:val="00053F16"/>
    <w:rsid w:val="00057B56"/>
    <w:rsid w:val="00061B22"/>
    <w:rsid w:val="000850FF"/>
    <w:rsid w:val="000970EB"/>
    <w:rsid w:val="000A39BF"/>
    <w:rsid w:val="000B0D49"/>
    <w:rsid w:val="000B2A69"/>
    <w:rsid w:val="000B5688"/>
    <w:rsid w:val="000C1905"/>
    <w:rsid w:val="000C3BE5"/>
    <w:rsid w:val="000C6AFD"/>
    <w:rsid w:val="000C6DE2"/>
    <w:rsid w:val="000D5765"/>
    <w:rsid w:val="000E43FE"/>
    <w:rsid w:val="000F343E"/>
    <w:rsid w:val="000F4E24"/>
    <w:rsid w:val="000F54D7"/>
    <w:rsid w:val="000F6228"/>
    <w:rsid w:val="000F7A16"/>
    <w:rsid w:val="00120092"/>
    <w:rsid w:val="00124430"/>
    <w:rsid w:val="00126B20"/>
    <w:rsid w:val="001364E6"/>
    <w:rsid w:val="00164518"/>
    <w:rsid w:val="00164EC5"/>
    <w:rsid w:val="00176AF9"/>
    <w:rsid w:val="00185DA1"/>
    <w:rsid w:val="00191F90"/>
    <w:rsid w:val="0019523C"/>
    <w:rsid w:val="001952B1"/>
    <w:rsid w:val="001B07CA"/>
    <w:rsid w:val="001B36F7"/>
    <w:rsid w:val="001C169A"/>
    <w:rsid w:val="001D028E"/>
    <w:rsid w:val="001E5B21"/>
    <w:rsid w:val="001F37A8"/>
    <w:rsid w:val="00205F5B"/>
    <w:rsid w:val="0022163B"/>
    <w:rsid w:val="00242C7A"/>
    <w:rsid w:val="0028487B"/>
    <w:rsid w:val="00290BCA"/>
    <w:rsid w:val="00294146"/>
    <w:rsid w:val="002953D2"/>
    <w:rsid w:val="002A51DD"/>
    <w:rsid w:val="002C6CD4"/>
    <w:rsid w:val="002D4FE3"/>
    <w:rsid w:val="002D79C7"/>
    <w:rsid w:val="002E6DBB"/>
    <w:rsid w:val="002F4B18"/>
    <w:rsid w:val="002F6AE3"/>
    <w:rsid w:val="0030289B"/>
    <w:rsid w:val="00312152"/>
    <w:rsid w:val="0032071A"/>
    <w:rsid w:val="003423CA"/>
    <w:rsid w:val="00347950"/>
    <w:rsid w:val="00352AD6"/>
    <w:rsid w:val="0035488C"/>
    <w:rsid w:val="0036309B"/>
    <w:rsid w:val="00363B0A"/>
    <w:rsid w:val="003655A2"/>
    <w:rsid w:val="00366495"/>
    <w:rsid w:val="00375682"/>
    <w:rsid w:val="003776FD"/>
    <w:rsid w:val="00381AD6"/>
    <w:rsid w:val="003B15FB"/>
    <w:rsid w:val="003B2063"/>
    <w:rsid w:val="003C3FAF"/>
    <w:rsid w:val="003C6EF0"/>
    <w:rsid w:val="003E2FA6"/>
    <w:rsid w:val="003E54F7"/>
    <w:rsid w:val="003F4181"/>
    <w:rsid w:val="004029E2"/>
    <w:rsid w:val="00454B66"/>
    <w:rsid w:val="00464770"/>
    <w:rsid w:val="004712D8"/>
    <w:rsid w:val="00473EE6"/>
    <w:rsid w:val="004742CA"/>
    <w:rsid w:val="004831CD"/>
    <w:rsid w:val="00484561"/>
    <w:rsid w:val="00487F1A"/>
    <w:rsid w:val="0049592B"/>
    <w:rsid w:val="004A608B"/>
    <w:rsid w:val="004B0736"/>
    <w:rsid w:val="004C1D5B"/>
    <w:rsid w:val="004F1426"/>
    <w:rsid w:val="004F2D30"/>
    <w:rsid w:val="005008CC"/>
    <w:rsid w:val="00515469"/>
    <w:rsid w:val="005158B8"/>
    <w:rsid w:val="00515974"/>
    <w:rsid w:val="00515D7B"/>
    <w:rsid w:val="005205BE"/>
    <w:rsid w:val="00526193"/>
    <w:rsid w:val="00541498"/>
    <w:rsid w:val="00545306"/>
    <w:rsid w:val="00553D40"/>
    <w:rsid w:val="00560D71"/>
    <w:rsid w:val="00562607"/>
    <w:rsid w:val="00565997"/>
    <w:rsid w:val="0058041C"/>
    <w:rsid w:val="005904FE"/>
    <w:rsid w:val="005A1B0D"/>
    <w:rsid w:val="005A5491"/>
    <w:rsid w:val="005B68A9"/>
    <w:rsid w:val="005C6969"/>
    <w:rsid w:val="005F4D2B"/>
    <w:rsid w:val="00605298"/>
    <w:rsid w:val="006217C3"/>
    <w:rsid w:val="006426AE"/>
    <w:rsid w:val="00646A77"/>
    <w:rsid w:val="0065396B"/>
    <w:rsid w:val="006645F5"/>
    <w:rsid w:val="00677FA6"/>
    <w:rsid w:val="00681F59"/>
    <w:rsid w:val="00682A13"/>
    <w:rsid w:val="006B2BF0"/>
    <w:rsid w:val="006D5014"/>
    <w:rsid w:val="006F1CC9"/>
    <w:rsid w:val="006F1D83"/>
    <w:rsid w:val="00705B9B"/>
    <w:rsid w:val="007220F0"/>
    <w:rsid w:val="007304DE"/>
    <w:rsid w:val="00730CD5"/>
    <w:rsid w:val="007353D2"/>
    <w:rsid w:val="00736998"/>
    <w:rsid w:val="00742D11"/>
    <w:rsid w:val="00763491"/>
    <w:rsid w:val="007723BA"/>
    <w:rsid w:val="00776896"/>
    <w:rsid w:val="00786866"/>
    <w:rsid w:val="00792A98"/>
    <w:rsid w:val="007946BB"/>
    <w:rsid w:val="00796E4D"/>
    <w:rsid w:val="007A2888"/>
    <w:rsid w:val="007A6514"/>
    <w:rsid w:val="007B05B1"/>
    <w:rsid w:val="007E4DE9"/>
    <w:rsid w:val="00805155"/>
    <w:rsid w:val="00812732"/>
    <w:rsid w:val="008220F8"/>
    <w:rsid w:val="00825F03"/>
    <w:rsid w:val="008272D6"/>
    <w:rsid w:val="008276F3"/>
    <w:rsid w:val="008314B1"/>
    <w:rsid w:val="00840CA9"/>
    <w:rsid w:val="00841D74"/>
    <w:rsid w:val="00861E60"/>
    <w:rsid w:val="008A0923"/>
    <w:rsid w:val="008A764B"/>
    <w:rsid w:val="008B2178"/>
    <w:rsid w:val="008C0AA5"/>
    <w:rsid w:val="008C2F0D"/>
    <w:rsid w:val="008D704A"/>
    <w:rsid w:val="008D71C2"/>
    <w:rsid w:val="008F5363"/>
    <w:rsid w:val="00911893"/>
    <w:rsid w:val="00914637"/>
    <w:rsid w:val="00917BA0"/>
    <w:rsid w:val="0092483C"/>
    <w:rsid w:val="00927BB5"/>
    <w:rsid w:val="00927D28"/>
    <w:rsid w:val="009414A0"/>
    <w:rsid w:val="009444A1"/>
    <w:rsid w:val="00953506"/>
    <w:rsid w:val="0096262B"/>
    <w:rsid w:val="00973C2D"/>
    <w:rsid w:val="00976BB5"/>
    <w:rsid w:val="00980486"/>
    <w:rsid w:val="00987C96"/>
    <w:rsid w:val="00997F2D"/>
    <w:rsid w:val="009B7740"/>
    <w:rsid w:val="009D3C18"/>
    <w:rsid w:val="009D788B"/>
    <w:rsid w:val="009E0A53"/>
    <w:rsid w:val="009E1D14"/>
    <w:rsid w:val="009F3FA1"/>
    <w:rsid w:val="00A10757"/>
    <w:rsid w:val="00A4181D"/>
    <w:rsid w:val="00A46541"/>
    <w:rsid w:val="00A63E0A"/>
    <w:rsid w:val="00A65E9A"/>
    <w:rsid w:val="00A747F1"/>
    <w:rsid w:val="00A74F69"/>
    <w:rsid w:val="00A80330"/>
    <w:rsid w:val="00A8176E"/>
    <w:rsid w:val="00A8601F"/>
    <w:rsid w:val="00AB39E9"/>
    <w:rsid w:val="00AC0B98"/>
    <w:rsid w:val="00AC7F3F"/>
    <w:rsid w:val="00AD3C73"/>
    <w:rsid w:val="00B2772C"/>
    <w:rsid w:val="00B413C4"/>
    <w:rsid w:val="00B436EC"/>
    <w:rsid w:val="00B47576"/>
    <w:rsid w:val="00B60368"/>
    <w:rsid w:val="00B659BA"/>
    <w:rsid w:val="00B701D1"/>
    <w:rsid w:val="00B71B84"/>
    <w:rsid w:val="00B75DB2"/>
    <w:rsid w:val="00B832A0"/>
    <w:rsid w:val="00B914B5"/>
    <w:rsid w:val="00BB3E3F"/>
    <w:rsid w:val="00BB7542"/>
    <w:rsid w:val="00BC36B2"/>
    <w:rsid w:val="00BC60D1"/>
    <w:rsid w:val="00BD3BF2"/>
    <w:rsid w:val="00BF3861"/>
    <w:rsid w:val="00BF6E28"/>
    <w:rsid w:val="00C111BE"/>
    <w:rsid w:val="00C33DB9"/>
    <w:rsid w:val="00C3587D"/>
    <w:rsid w:val="00C3759C"/>
    <w:rsid w:val="00C52BB1"/>
    <w:rsid w:val="00C619BE"/>
    <w:rsid w:val="00C75955"/>
    <w:rsid w:val="00C802DB"/>
    <w:rsid w:val="00C87FB8"/>
    <w:rsid w:val="00CA2614"/>
    <w:rsid w:val="00CA630A"/>
    <w:rsid w:val="00CB0064"/>
    <w:rsid w:val="00CD7CE0"/>
    <w:rsid w:val="00CF39FF"/>
    <w:rsid w:val="00D12963"/>
    <w:rsid w:val="00D26D4A"/>
    <w:rsid w:val="00D46A44"/>
    <w:rsid w:val="00D52E1D"/>
    <w:rsid w:val="00D62DE2"/>
    <w:rsid w:val="00D877D7"/>
    <w:rsid w:val="00D93C76"/>
    <w:rsid w:val="00DA3E60"/>
    <w:rsid w:val="00DB2DF6"/>
    <w:rsid w:val="00DB4A72"/>
    <w:rsid w:val="00DC0711"/>
    <w:rsid w:val="00DC5108"/>
    <w:rsid w:val="00DF4E65"/>
    <w:rsid w:val="00E137B2"/>
    <w:rsid w:val="00E15CBC"/>
    <w:rsid w:val="00E1613D"/>
    <w:rsid w:val="00E31271"/>
    <w:rsid w:val="00E47AB2"/>
    <w:rsid w:val="00E60710"/>
    <w:rsid w:val="00E64E35"/>
    <w:rsid w:val="00E74A93"/>
    <w:rsid w:val="00E809BF"/>
    <w:rsid w:val="00EA221A"/>
    <w:rsid w:val="00EA2EDF"/>
    <w:rsid w:val="00EC1170"/>
    <w:rsid w:val="00EC1924"/>
    <w:rsid w:val="00EC3079"/>
    <w:rsid w:val="00ED5960"/>
    <w:rsid w:val="00ED7156"/>
    <w:rsid w:val="00ED7EC9"/>
    <w:rsid w:val="00EE5222"/>
    <w:rsid w:val="00EE7A0F"/>
    <w:rsid w:val="00EF3BF5"/>
    <w:rsid w:val="00F20A1D"/>
    <w:rsid w:val="00F55034"/>
    <w:rsid w:val="00F61180"/>
    <w:rsid w:val="00F7644C"/>
    <w:rsid w:val="00FB0086"/>
    <w:rsid w:val="00FB14E4"/>
    <w:rsid w:val="00FB52C4"/>
    <w:rsid w:val="00FB7751"/>
    <w:rsid w:val="00FF1059"/>
    <w:rsid w:val="00FF4003"/>
    <w:rsid w:val="00FF52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8A87"/>
  <w15:chartTrackingRefBased/>
  <w15:docId w15:val="{2DDAE86C-59A9-40FC-9934-BDE0A50D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lv-LV"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61"/>
    <w:rPr>
      <w:rFonts w:ascii="Calibri" w:hAnsi="Calibri"/>
    </w:rPr>
  </w:style>
  <w:style w:type="paragraph" w:styleId="Heading3">
    <w:name w:val="heading 3"/>
    <w:basedOn w:val="Normal"/>
    <w:next w:val="Normal"/>
    <w:link w:val="Heading3Char"/>
    <w:uiPriority w:val="9"/>
    <w:unhideWhenUsed/>
    <w:qFormat/>
    <w:rsid w:val="006F1D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4561"/>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484561"/>
    <w:rPr>
      <w:rFonts w:ascii="Times New Roman" w:eastAsia="Times New Roman" w:hAnsi="Times New Roman" w:cs="Times New Roman"/>
      <w:sz w:val="28"/>
      <w:szCs w:val="20"/>
    </w:rPr>
  </w:style>
  <w:style w:type="paragraph" w:styleId="NoSpacing">
    <w:name w:val="No Spacing"/>
    <w:link w:val="NoSpacingChar"/>
    <w:uiPriority w:val="99"/>
    <w:qFormat/>
    <w:rsid w:val="00484561"/>
    <w:pPr>
      <w:spacing w:after="0" w:line="240" w:lineRule="auto"/>
    </w:pPr>
    <w:rPr>
      <w:rFonts w:ascii="Times New Roman" w:eastAsia="Times New Roman" w:hAnsi="Times New Roman" w:cs="Times New Roman"/>
      <w:sz w:val="24"/>
      <w:szCs w:val="24"/>
      <w:lang w:eastAsia="lv-LV"/>
    </w:rPr>
  </w:style>
  <w:style w:type="character" w:customStyle="1" w:styleId="NoSpacingChar">
    <w:name w:val="No Spacing Char"/>
    <w:basedOn w:val="DefaultParagraphFont"/>
    <w:link w:val="NoSpacing"/>
    <w:uiPriority w:val="1"/>
    <w:rsid w:val="00484561"/>
    <w:rPr>
      <w:rFonts w:ascii="Times New Roman" w:eastAsia="Times New Roman" w:hAnsi="Times New Roman" w:cs="Times New Roman"/>
      <w:sz w:val="24"/>
      <w:szCs w:val="24"/>
      <w:lang w:eastAsia="lv-LV"/>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484561"/>
    <w:pPr>
      <w:ind w:left="720"/>
      <w:contextualSpacing/>
    </w:pPr>
    <w:rPr>
      <w:rFonts w:cs="Times New Roman"/>
    </w:rPr>
  </w:style>
  <w:style w:type="character" w:styleId="Hyperlink">
    <w:name w:val="Hyperlink"/>
    <w:basedOn w:val="DefaultParagraphFont"/>
    <w:uiPriority w:val="99"/>
    <w:unhideWhenUsed/>
    <w:rsid w:val="007723BA"/>
    <w:rPr>
      <w:color w:val="0000FF"/>
      <w:u w:val="single"/>
    </w:rPr>
  </w:style>
  <w:style w:type="paragraph" w:styleId="Header">
    <w:name w:val="header"/>
    <w:basedOn w:val="Normal"/>
    <w:link w:val="HeaderChar"/>
    <w:uiPriority w:val="99"/>
    <w:unhideWhenUsed/>
    <w:rsid w:val="007723BA"/>
    <w:pPr>
      <w:tabs>
        <w:tab w:val="center" w:pos="4153"/>
        <w:tab w:val="right" w:pos="8306"/>
      </w:tabs>
      <w:spacing w:after="0" w:line="240" w:lineRule="auto"/>
    </w:pPr>
    <w:rPr>
      <w:rFonts w:asciiTheme="minorHAnsi" w:eastAsiaTheme="minorHAnsi" w:hAnsiTheme="minorHAnsi"/>
    </w:rPr>
  </w:style>
  <w:style w:type="character" w:customStyle="1" w:styleId="HeaderChar">
    <w:name w:val="Header Char"/>
    <w:basedOn w:val="DefaultParagraphFont"/>
    <w:link w:val="Header"/>
    <w:uiPriority w:val="99"/>
    <w:rsid w:val="007723BA"/>
    <w:rPr>
      <w:rFonts w:eastAsiaTheme="minorHAnsi"/>
    </w:rPr>
  </w:style>
  <w:style w:type="paragraph" w:styleId="Footer">
    <w:name w:val="footer"/>
    <w:basedOn w:val="Normal"/>
    <w:link w:val="FooterChar"/>
    <w:uiPriority w:val="99"/>
    <w:unhideWhenUsed/>
    <w:rsid w:val="007723BA"/>
    <w:pPr>
      <w:tabs>
        <w:tab w:val="center" w:pos="4153"/>
        <w:tab w:val="right" w:pos="8306"/>
      </w:tabs>
      <w:spacing w:after="0" w:line="240" w:lineRule="auto"/>
    </w:pPr>
    <w:rPr>
      <w:rFonts w:asciiTheme="minorHAnsi" w:eastAsiaTheme="minorHAnsi" w:hAnsiTheme="minorHAnsi"/>
    </w:rPr>
  </w:style>
  <w:style w:type="character" w:customStyle="1" w:styleId="FooterChar">
    <w:name w:val="Footer Char"/>
    <w:basedOn w:val="DefaultParagraphFont"/>
    <w:link w:val="Footer"/>
    <w:uiPriority w:val="99"/>
    <w:rsid w:val="007723BA"/>
    <w:rPr>
      <w:rFonts w:eastAsiaTheme="minorHAnsi"/>
    </w:rPr>
  </w:style>
  <w:style w:type="table" w:styleId="TableGrid">
    <w:name w:val="Table Grid"/>
    <w:basedOn w:val="TableNormal"/>
    <w:uiPriority w:val="39"/>
    <w:rsid w:val="007723B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7723BA"/>
    <w:rPr>
      <w:rFonts w:ascii="Calibri" w:hAnsi="Calibri" w:cs="Times New Roman"/>
    </w:rPr>
  </w:style>
  <w:style w:type="paragraph" w:customStyle="1" w:styleId="xmsonormal">
    <w:name w:val="x_msonormal"/>
    <w:basedOn w:val="Normal"/>
    <w:rsid w:val="007723B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46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541"/>
    <w:rPr>
      <w:rFonts w:ascii="Segoe UI" w:hAnsi="Segoe UI" w:cs="Segoe UI"/>
      <w:sz w:val="18"/>
      <w:szCs w:val="18"/>
    </w:rPr>
  </w:style>
  <w:style w:type="paragraph" w:customStyle="1" w:styleId="doc-ti">
    <w:name w:val="doc-ti"/>
    <w:basedOn w:val="Normal"/>
    <w:rsid w:val="003479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rsid w:val="006F1D83"/>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semiHidden/>
    <w:unhideWhenUsed/>
    <w:rsid w:val="00D26D4A"/>
    <w:rPr>
      <w:sz w:val="16"/>
      <w:szCs w:val="16"/>
    </w:rPr>
  </w:style>
  <w:style w:type="paragraph" w:styleId="CommentText">
    <w:name w:val="annotation text"/>
    <w:basedOn w:val="Normal"/>
    <w:link w:val="CommentTextChar"/>
    <w:uiPriority w:val="99"/>
    <w:semiHidden/>
    <w:unhideWhenUsed/>
    <w:rsid w:val="00D26D4A"/>
    <w:pPr>
      <w:spacing w:line="240" w:lineRule="auto"/>
    </w:pPr>
    <w:rPr>
      <w:sz w:val="20"/>
      <w:szCs w:val="20"/>
    </w:rPr>
  </w:style>
  <w:style w:type="character" w:customStyle="1" w:styleId="CommentTextChar">
    <w:name w:val="Comment Text Char"/>
    <w:basedOn w:val="DefaultParagraphFont"/>
    <w:link w:val="CommentText"/>
    <w:uiPriority w:val="99"/>
    <w:semiHidden/>
    <w:rsid w:val="00D26D4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26D4A"/>
    <w:rPr>
      <w:b/>
      <w:bCs/>
    </w:rPr>
  </w:style>
  <w:style w:type="character" w:customStyle="1" w:styleId="CommentSubjectChar">
    <w:name w:val="Comment Subject Char"/>
    <w:basedOn w:val="CommentTextChar"/>
    <w:link w:val="CommentSubject"/>
    <w:uiPriority w:val="99"/>
    <w:semiHidden/>
    <w:rsid w:val="00D26D4A"/>
    <w:rPr>
      <w:rFonts w:ascii="Calibri" w:hAnsi="Calibri"/>
      <w:b/>
      <w:bCs/>
      <w:sz w:val="20"/>
      <w:szCs w:val="20"/>
    </w:rPr>
  </w:style>
  <w:style w:type="paragraph" w:customStyle="1" w:styleId="tv213">
    <w:name w:val="tv213"/>
    <w:basedOn w:val="Normal"/>
    <w:rsid w:val="007304D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0C3BE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29627">
      <w:bodyDiv w:val="1"/>
      <w:marLeft w:val="0"/>
      <w:marRight w:val="0"/>
      <w:marTop w:val="0"/>
      <w:marBottom w:val="0"/>
      <w:divBdr>
        <w:top w:val="none" w:sz="0" w:space="0" w:color="auto"/>
        <w:left w:val="none" w:sz="0" w:space="0" w:color="auto"/>
        <w:bottom w:val="none" w:sz="0" w:space="0" w:color="auto"/>
        <w:right w:val="none" w:sz="0" w:space="0" w:color="auto"/>
      </w:divBdr>
    </w:div>
    <w:div w:id="202061944">
      <w:bodyDiv w:val="1"/>
      <w:marLeft w:val="0"/>
      <w:marRight w:val="0"/>
      <w:marTop w:val="0"/>
      <w:marBottom w:val="0"/>
      <w:divBdr>
        <w:top w:val="none" w:sz="0" w:space="0" w:color="auto"/>
        <w:left w:val="none" w:sz="0" w:space="0" w:color="auto"/>
        <w:bottom w:val="none" w:sz="0" w:space="0" w:color="auto"/>
        <w:right w:val="none" w:sz="0" w:space="0" w:color="auto"/>
      </w:divBdr>
    </w:div>
    <w:div w:id="253394651">
      <w:bodyDiv w:val="1"/>
      <w:marLeft w:val="0"/>
      <w:marRight w:val="0"/>
      <w:marTop w:val="0"/>
      <w:marBottom w:val="0"/>
      <w:divBdr>
        <w:top w:val="none" w:sz="0" w:space="0" w:color="auto"/>
        <w:left w:val="none" w:sz="0" w:space="0" w:color="auto"/>
        <w:bottom w:val="none" w:sz="0" w:space="0" w:color="auto"/>
        <w:right w:val="none" w:sz="0" w:space="0" w:color="auto"/>
      </w:divBdr>
    </w:div>
    <w:div w:id="514072505">
      <w:bodyDiv w:val="1"/>
      <w:marLeft w:val="0"/>
      <w:marRight w:val="0"/>
      <w:marTop w:val="0"/>
      <w:marBottom w:val="0"/>
      <w:divBdr>
        <w:top w:val="none" w:sz="0" w:space="0" w:color="auto"/>
        <w:left w:val="none" w:sz="0" w:space="0" w:color="auto"/>
        <w:bottom w:val="none" w:sz="0" w:space="0" w:color="auto"/>
        <w:right w:val="none" w:sz="0" w:space="0" w:color="auto"/>
      </w:divBdr>
    </w:div>
    <w:div w:id="597716010">
      <w:bodyDiv w:val="1"/>
      <w:marLeft w:val="0"/>
      <w:marRight w:val="0"/>
      <w:marTop w:val="0"/>
      <w:marBottom w:val="0"/>
      <w:divBdr>
        <w:top w:val="none" w:sz="0" w:space="0" w:color="auto"/>
        <w:left w:val="none" w:sz="0" w:space="0" w:color="auto"/>
        <w:bottom w:val="none" w:sz="0" w:space="0" w:color="auto"/>
        <w:right w:val="none" w:sz="0" w:space="0" w:color="auto"/>
      </w:divBdr>
    </w:div>
    <w:div w:id="1071463021">
      <w:bodyDiv w:val="1"/>
      <w:marLeft w:val="0"/>
      <w:marRight w:val="0"/>
      <w:marTop w:val="0"/>
      <w:marBottom w:val="0"/>
      <w:divBdr>
        <w:top w:val="none" w:sz="0" w:space="0" w:color="auto"/>
        <w:left w:val="none" w:sz="0" w:space="0" w:color="auto"/>
        <w:bottom w:val="none" w:sz="0" w:space="0" w:color="auto"/>
        <w:right w:val="none" w:sz="0" w:space="0" w:color="auto"/>
      </w:divBdr>
    </w:div>
    <w:div w:id="1334529542">
      <w:bodyDiv w:val="1"/>
      <w:marLeft w:val="0"/>
      <w:marRight w:val="0"/>
      <w:marTop w:val="0"/>
      <w:marBottom w:val="0"/>
      <w:divBdr>
        <w:top w:val="none" w:sz="0" w:space="0" w:color="auto"/>
        <w:left w:val="none" w:sz="0" w:space="0" w:color="auto"/>
        <w:bottom w:val="none" w:sz="0" w:space="0" w:color="auto"/>
        <w:right w:val="none" w:sz="0" w:space="0" w:color="auto"/>
      </w:divBdr>
    </w:div>
    <w:div w:id="18079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15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62843-par-mirusa-cilveka-kermena-aizsardzibu-un-cilveka-audu-un-organu-izmantosanu-medicin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295401-medicinisko-iericu-registracijas-atbilstibas-novertesanas-izplatisanas-ekspluatacijas-un-tehniskas-uzraudzibas-karti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7CAB6-A057-49AA-B8BC-CE63EE1D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23021</Words>
  <Characters>13122</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Sarmite.Pengerote</dc:creator>
  <cp:keywords/>
  <dc:description/>
  <cp:lastModifiedBy>Lāsma Zandberga</cp:lastModifiedBy>
  <cp:revision>3</cp:revision>
  <cp:lastPrinted>2020-10-20T14:22:00Z</cp:lastPrinted>
  <dcterms:created xsi:type="dcterms:W3CDTF">2021-08-09T10:35:00Z</dcterms:created>
  <dcterms:modified xsi:type="dcterms:W3CDTF">2021-08-09T13:50:00Z</dcterms:modified>
</cp:coreProperties>
</file>