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3"/>
    <w:bookmarkStart w:id="1" w:name="OLE_LINK14"/>
    <w:bookmarkStart w:id="2" w:name="OLE_LINK1"/>
    <w:bookmarkStart w:id="3" w:name="OLE_LINK2"/>
    <w:bookmarkStart w:id="4" w:name="OLE_LINK3"/>
    <w:bookmarkStart w:id="5" w:name="OLE_LINK10"/>
    <w:p w14:paraId="00F2D358" w14:textId="2658D5A3" w:rsidR="009F74E6" w:rsidRPr="00C939E3" w:rsidRDefault="00763AF5" w:rsidP="006237F0">
      <w:pPr>
        <w:spacing w:before="120"/>
        <w:jc w:val="center"/>
        <w:rPr>
          <w:b/>
          <w:sz w:val="28"/>
          <w:szCs w:val="28"/>
          <w:lang w:eastAsia="lv-LV"/>
        </w:rPr>
      </w:pPr>
      <w:r w:rsidRPr="00C939E3">
        <w:rPr>
          <w:b/>
          <w:noProof/>
          <w:sz w:val="28"/>
          <w:szCs w:val="28"/>
          <w:lang w:eastAsia="lv-LV"/>
        </w:rPr>
        <mc:AlternateContent>
          <mc:Choice Requires="wps">
            <w:drawing>
              <wp:anchor distT="0" distB="0" distL="114300" distR="114300" simplePos="0" relativeHeight="251658240" behindDoc="0" locked="0" layoutInCell="1" allowOverlap="1" wp14:anchorId="4E5D3528" wp14:editId="689B8E95">
                <wp:simplePos x="0" y="0"/>
                <wp:positionH relativeFrom="column">
                  <wp:posOffset>2595245</wp:posOffset>
                </wp:positionH>
                <wp:positionV relativeFrom="paragraph">
                  <wp:posOffset>-540385</wp:posOffset>
                </wp:positionV>
                <wp:extent cx="533400" cy="3238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F6AB2" id="Rectangle 2" o:spid="_x0000_s1026" style="position:absolute;margin-left:204.35pt;margin-top:-42.55pt;width:4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" strokecolor="white [3212]"/>
            </w:pict>
          </mc:Fallback>
        </mc:AlternateContent>
      </w:r>
      <w:bookmarkEnd w:id="0"/>
      <w:bookmarkEnd w:id="1"/>
      <w:bookmarkEnd w:id="2"/>
      <w:r w:rsidR="009F74E6" w:rsidRPr="00C939E3">
        <w:rPr>
          <w:b/>
          <w:lang w:eastAsia="lv-LV"/>
        </w:rPr>
        <w:t xml:space="preserve"> </w:t>
      </w:r>
      <w:r w:rsidR="009F74E6" w:rsidRPr="00C939E3">
        <w:rPr>
          <w:b/>
          <w:sz w:val="28"/>
          <w:szCs w:val="28"/>
          <w:lang w:eastAsia="lv-LV"/>
        </w:rPr>
        <w:t xml:space="preserve">Ministru kabineta noteikumu projekta </w:t>
      </w:r>
      <w:bookmarkStart w:id="6" w:name="OLE_LINK27"/>
      <w:bookmarkStart w:id="7" w:name="OLE_LINK26"/>
      <w:bookmarkStart w:id="8" w:name="OLE_LINK12"/>
      <w:bookmarkStart w:id="9" w:name="OLE_LINK11"/>
      <w:r w:rsidR="00BA41DF" w:rsidRPr="00C939E3">
        <w:rPr>
          <w:b/>
          <w:sz w:val="28"/>
          <w:szCs w:val="28"/>
        </w:rPr>
        <w:t>"</w:t>
      </w:r>
      <w:r w:rsidR="00971966" w:rsidRPr="00C939E3">
        <w:rPr>
          <w:b/>
          <w:sz w:val="28"/>
          <w:szCs w:val="28"/>
          <w:lang w:eastAsia="lv-LV"/>
        </w:rPr>
        <w:t xml:space="preserve">Grozījumi </w:t>
      </w:r>
      <w:bookmarkEnd w:id="6"/>
      <w:bookmarkEnd w:id="7"/>
      <w:bookmarkEnd w:id="8"/>
      <w:bookmarkEnd w:id="9"/>
      <w:r w:rsidR="000253BE" w:rsidRPr="00C939E3">
        <w:rPr>
          <w:b/>
          <w:sz w:val="28"/>
          <w:szCs w:val="28"/>
          <w:lang w:eastAsia="lv-LV"/>
        </w:rPr>
        <w:t>Ministru kabineta 2017.gada 21.marta noteikumos Nr.158 "Darbības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r w:rsidR="00971966" w:rsidRPr="00C939E3">
        <w:rPr>
          <w:b/>
          <w:sz w:val="28"/>
          <w:szCs w:val="28"/>
          <w:lang w:eastAsia="lv-LV"/>
        </w:rPr>
        <w:t>"</w:t>
      </w:r>
      <w:r w:rsidR="009F74E6" w:rsidRPr="00C939E3">
        <w:rPr>
          <w:b/>
          <w:sz w:val="28"/>
          <w:szCs w:val="28"/>
          <w:lang w:eastAsia="lv-LV"/>
        </w:rPr>
        <w:t xml:space="preserve"> sākotnējās ietekmes novērtējuma ziņojums (anotācija)</w:t>
      </w:r>
    </w:p>
    <w:p w14:paraId="46F7DC4C" w14:textId="2C2FF57C" w:rsidR="00EC2621" w:rsidRPr="00C939E3" w:rsidRDefault="00EC2621" w:rsidP="006237F0">
      <w:pPr>
        <w:tabs>
          <w:tab w:val="center" w:pos="4153"/>
          <w:tab w:val="right" w:pos="8306"/>
        </w:tabs>
        <w:spacing w:before="120"/>
        <w:jc w:val="center"/>
        <w:rPr>
          <w:b/>
          <w:sz w:val="28"/>
          <w:szCs w:val="28"/>
          <w:lang w:eastAsia="lv-LV"/>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097"/>
      </w:tblGrid>
      <w:tr w:rsidR="004A282E" w:rsidRPr="00C939E3" w14:paraId="387B949F" w14:textId="77777777" w:rsidTr="00BF2066">
        <w:tc>
          <w:tcPr>
            <w:tcW w:w="8926" w:type="dxa"/>
            <w:gridSpan w:val="2"/>
            <w:shd w:val="clear" w:color="auto" w:fill="FFFFFF"/>
            <w:vAlign w:val="center"/>
            <w:hideMark/>
          </w:tcPr>
          <w:p w14:paraId="41B0D8D7" w14:textId="77777777" w:rsidR="00EC2621" w:rsidRPr="00C939E3" w:rsidRDefault="00EC2621" w:rsidP="006237F0">
            <w:pPr>
              <w:spacing w:before="120"/>
              <w:jc w:val="center"/>
              <w:rPr>
                <w:b/>
                <w:iCs/>
              </w:rPr>
            </w:pPr>
            <w:r w:rsidRPr="00C939E3">
              <w:rPr>
                <w:b/>
                <w:iCs/>
              </w:rPr>
              <w:t>Tiesību akta projekta anotācijas kopsavilkums</w:t>
            </w:r>
          </w:p>
        </w:tc>
      </w:tr>
      <w:tr w:rsidR="004A282E" w:rsidRPr="00C939E3" w14:paraId="5DA96D59" w14:textId="77777777" w:rsidTr="00BF2066">
        <w:tc>
          <w:tcPr>
            <w:tcW w:w="2830" w:type="dxa"/>
            <w:shd w:val="clear" w:color="auto" w:fill="FFFFFF"/>
            <w:hideMark/>
          </w:tcPr>
          <w:p w14:paraId="7801781E" w14:textId="77777777" w:rsidR="00EC2621" w:rsidRPr="00C939E3" w:rsidRDefault="00EC2621" w:rsidP="006237F0">
            <w:pPr>
              <w:spacing w:before="120"/>
              <w:rPr>
                <w:iCs/>
              </w:rPr>
            </w:pPr>
            <w:r w:rsidRPr="00C939E3">
              <w:rPr>
                <w:iCs/>
              </w:rPr>
              <w:t>Mērķis, risinājums un projekta spēkā stāšanās laiks (500 zīmes bez atstarpēm)</w:t>
            </w:r>
          </w:p>
        </w:tc>
        <w:tc>
          <w:tcPr>
            <w:tcW w:w="6096" w:type="dxa"/>
            <w:shd w:val="clear" w:color="auto" w:fill="FFFFFF"/>
            <w:hideMark/>
          </w:tcPr>
          <w:p w14:paraId="6B6A075D" w14:textId="06136198" w:rsidR="00371081" w:rsidRPr="00C939E3" w:rsidRDefault="00DE7DD9" w:rsidP="006237F0">
            <w:pPr>
              <w:spacing w:before="120"/>
              <w:jc w:val="both"/>
            </w:pPr>
            <w:r w:rsidRPr="00C939E3">
              <w:t>Grozījum</w:t>
            </w:r>
            <w:r w:rsidR="00D71885" w:rsidRPr="00C939E3">
              <w:t>u</w:t>
            </w:r>
            <w:r w:rsidRPr="00C939E3">
              <w:t xml:space="preserve"> Ministru kabineta </w:t>
            </w:r>
            <w:r w:rsidR="000253BE" w:rsidRPr="00C939E3">
              <w:t>2017.</w:t>
            </w:r>
            <w:r w:rsidR="00E56207" w:rsidRPr="00C939E3">
              <w:t xml:space="preserve"> </w:t>
            </w:r>
            <w:r w:rsidR="000253BE" w:rsidRPr="00C939E3">
              <w:t xml:space="preserve">gada 21.marta noteikumos Nr.158 </w:t>
            </w:r>
            <w:r w:rsidR="000253BE" w:rsidRPr="00C939E3">
              <w:rPr>
                <w:i/>
                <w:iCs/>
              </w:rPr>
              <w:t>"Darbības programmas "Izaugsme un nodarbinātība" 9.2.5. specifiskā atbalsta mērķa "Uzlabot pieejamību ārstniecības un ārstniecības atbalsta personām, kas sniedz pakalpojumus prioritārajās veselības jomās iedzīvotājiem, kas dzīvo ārpus Rīgas"</w:t>
            </w:r>
            <w:r w:rsidRPr="00C939E3">
              <w:rPr>
                <w:i/>
                <w:iCs/>
              </w:rPr>
              <w:t xml:space="preserve"> īstenošanas noteikumi"</w:t>
            </w:r>
            <w:r w:rsidRPr="00C939E3">
              <w:t xml:space="preserve"> (turpmāk – noteikumu projekts) mērķis ir nodrošināt </w:t>
            </w:r>
            <w:r w:rsidR="002E7380" w:rsidRPr="00C939E3">
              <w:t xml:space="preserve">9.2.5. specifiskā atbalsta mērķa </w:t>
            </w:r>
            <w:r w:rsidR="002E7380" w:rsidRPr="00C939E3">
              <w:rPr>
                <w:i/>
                <w:iCs/>
              </w:rPr>
              <w:t>"Uzlabot pieejamību ārstniecības un ārstniecības atbalsta personām, kas sniedz pakalpojumus prioritārajās veselības jomās iedzīvotājiem, kas dzīvo ārpus Rīgas"</w:t>
            </w:r>
            <w:r w:rsidR="002E7380" w:rsidRPr="00C939E3">
              <w:t xml:space="preserve">  (turpmāk – SAM 9.2.5.) </w:t>
            </w:r>
            <w:r w:rsidRPr="00C939E3">
              <w:t>īstenot</w:t>
            </w:r>
            <w:r w:rsidR="002E7380" w:rsidRPr="00C939E3">
              <w:t>ā</w:t>
            </w:r>
            <w:r w:rsidRPr="00C939E3">
              <w:t xml:space="preserve"> </w:t>
            </w:r>
            <w:r w:rsidR="00AC041A" w:rsidRPr="00C939E3">
              <w:t xml:space="preserve">Eiropas Sociālā fonda </w:t>
            </w:r>
            <w:r w:rsidRPr="00C939E3">
              <w:t>projekt</w:t>
            </w:r>
            <w:r w:rsidR="002E7380" w:rsidRPr="00C939E3">
              <w:t>a</w:t>
            </w:r>
            <w:r w:rsidRPr="00C939E3">
              <w:t xml:space="preserve"> savlaicīgu pabeigšanu, sasniedzot specifiskā atbalsta mērķi - </w:t>
            </w:r>
            <w:r w:rsidR="000253BE" w:rsidRPr="00C939E3">
              <w:t>pieejamību ārstniecības un ārstniecības atbalsta personām, kas sniedz pakalpojumus</w:t>
            </w:r>
            <w:r w:rsidR="003F2BA2" w:rsidRPr="00C939E3">
              <w:t xml:space="preserve"> </w:t>
            </w:r>
            <w:r w:rsidR="003F2BA2" w:rsidRPr="00C939E3">
              <w:rPr>
                <w:shd w:val="clear" w:color="auto" w:fill="FFFFFF"/>
              </w:rPr>
              <w:t xml:space="preserve">prioritārajās veselības jomās – sirds un asinsvadu, onkoloģijas, bērnu (sākot no perinatālā un </w:t>
            </w:r>
            <w:proofErr w:type="spellStart"/>
            <w:r w:rsidR="003F2BA2" w:rsidRPr="00C939E3">
              <w:rPr>
                <w:shd w:val="clear" w:color="auto" w:fill="FFFFFF"/>
              </w:rPr>
              <w:t>neonatālā</w:t>
            </w:r>
            <w:proofErr w:type="spellEnd"/>
            <w:r w:rsidR="003F2BA2" w:rsidRPr="00C939E3">
              <w:rPr>
                <w:shd w:val="clear" w:color="auto" w:fill="FFFFFF"/>
              </w:rPr>
              <w:t xml:space="preserve"> perioda) aprūpes un garīgās veselības jomā (turpmāk – prioritārās jomas)</w:t>
            </w:r>
            <w:r w:rsidR="000253BE" w:rsidRPr="00C939E3">
              <w:t xml:space="preserve"> iedzīvotājiem, kas dzīvo ārpus Rīgas</w:t>
            </w:r>
            <w:r w:rsidRPr="00C939E3">
              <w:t>.</w:t>
            </w:r>
          </w:p>
        </w:tc>
      </w:tr>
      <w:bookmarkEnd w:id="3"/>
      <w:bookmarkEnd w:id="4"/>
      <w:bookmarkEnd w:id="5"/>
    </w:tbl>
    <w:p w14:paraId="3A308569" w14:textId="77777777" w:rsidR="00C1591C" w:rsidRPr="00C939E3" w:rsidRDefault="00C1591C" w:rsidP="006237F0">
      <w:pPr>
        <w:autoSpaceDE w:val="0"/>
        <w:autoSpaceDN w:val="0"/>
        <w:adjustRightInd w:val="0"/>
        <w:spacing w:before="120"/>
        <w:jc w:val="both"/>
        <w:outlineLvl w:val="0"/>
      </w:pPr>
    </w:p>
    <w:tbl>
      <w:tblPr>
        <w:tblpPr w:leftFromText="180" w:rightFromText="180" w:vertAnchor="text" w:horzAnchor="margin" w:tblpX="5"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2376"/>
        <w:gridCol w:w="6245"/>
      </w:tblGrid>
      <w:tr w:rsidR="004A282E" w:rsidRPr="00C939E3" w14:paraId="6EEDEF5F" w14:textId="77777777" w:rsidTr="00901E21">
        <w:trPr>
          <w:trHeight w:val="419"/>
        </w:trPr>
        <w:tc>
          <w:tcPr>
            <w:tcW w:w="5000" w:type="pct"/>
            <w:gridSpan w:val="3"/>
            <w:vAlign w:val="center"/>
          </w:tcPr>
          <w:p w14:paraId="727ADFF0" w14:textId="77777777" w:rsidR="003735C6" w:rsidRPr="00C939E3" w:rsidRDefault="003735C6" w:rsidP="006237F0">
            <w:pPr>
              <w:pStyle w:val="naisnod"/>
              <w:spacing w:before="120" w:beforeAutospacing="0" w:after="0" w:afterAutospacing="0"/>
              <w:ind w:left="57" w:right="57"/>
              <w:jc w:val="center"/>
              <w:rPr>
                <w:b/>
              </w:rPr>
            </w:pPr>
            <w:r w:rsidRPr="00C939E3">
              <w:rPr>
                <w:b/>
              </w:rPr>
              <w:t>I</w:t>
            </w:r>
            <w:r w:rsidR="00D46E0B" w:rsidRPr="00C939E3">
              <w:rPr>
                <w:b/>
              </w:rPr>
              <w:t xml:space="preserve">. </w:t>
            </w:r>
            <w:r w:rsidRPr="00C939E3">
              <w:rPr>
                <w:b/>
              </w:rPr>
              <w:t>Tiesību akta projekta izstrādes nepieciešamība</w:t>
            </w:r>
          </w:p>
        </w:tc>
      </w:tr>
      <w:tr w:rsidR="004A282E" w:rsidRPr="00C939E3" w14:paraId="6EC6B4FC" w14:textId="77777777" w:rsidTr="00901E21">
        <w:trPr>
          <w:trHeight w:val="415"/>
        </w:trPr>
        <w:tc>
          <w:tcPr>
            <w:tcW w:w="243" w:type="pct"/>
          </w:tcPr>
          <w:p w14:paraId="39051303" w14:textId="77777777" w:rsidR="002130F9" w:rsidRPr="00C939E3" w:rsidRDefault="002130F9" w:rsidP="006237F0">
            <w:pPr>
              <w:pStyle w:val="naiskr"/>
              <w:spacing w:before="120" w:beforeAutospacing="0" w:after="0" w:afterAutospacing="0"/>
              <w:ind w:left="57" w:right="57"/>
              <w:jc w:val="center"/>
            </w:pPr>
            <w:r w:rsidRPr="00C939E3">
              <w:t xml:space="preserve">1. </w:t>
            </w:r>
          </w:p>
        </w:tc>
        <w:tc>
          <w:tcPr>
            <w:tcW w:w="1311" w:type="pct"/>
          </w:tcPr>
          <w:p w14:paraId="12B72B8A" w14:textId="77777777" w:rsidR="002130F9" w:rsidRPr="00C939E3" w:rsidRDefault="002130F9" w:rsidP="006237F0">
            <w:pPr>
              <w:pStyle w:val="naiskr"/>
              <w:spacing w:before="120" w:beforeAutospacing="0" w:after="0" w:afterAutospacing="0"/>
              <w:ind w:left="57" w:right="57"/>
              <w:rPr>
                <w:rFonts w:eastAsiaTheme="minorHAnsi"/>
                <w:lang w:eastAsia="en-US"/>
              </w:rPr>
            </w:pPr>
            <w:r w:rsidRPr="00C939E3">
              <w:rPr>
                <w:rFonts w:eastAsiaTheme="minorHAnsi"/>
                <w:lang w:eastAsia="en-US"/>
              </w:rPr>
              <w:t>Pamatojums</w:t>
            </w:r>
          </w:p>
        </w:tc>
        <w:tc>
          <w:tcPr>
            <w:tcW w:w="3446" w:type="pct"/>
          </w:tcPr>
          <w:p w14:paraId="5BDF632C" w14:textId="77777777" w:rsidR="00D0463E" w:rsidRPr="00C939E3" w:rsidRDefault="00D0463E" w:rsidP="0021759A">
            <w:pPr>
              <w:pStyle w:val="naiskr"/>
              <w:spacing w:before="0" w:beforeAutospacing="0" w:after="0" w:afterAutospacing="0"/>
              <w:ind w:left="57" w:right="57"/>
              <w:jc w:val="both"/>
            </w:pPr>
            <w:r w:rsidRPr="00C939E3">
              <w:t>Eiropas Savienības struktūrfondu un Kohēzijas fonda 2014. —2020. gada plānošanas perioda vadības likuma 20. panta 6. un 13. punkts</w:t>
            </w:r>
          </w:p>
          <w:p w14:paraId="180E119F" w14:textId="4ECB7A60" w:rsidR="002130F9" w:rsidRPr="00C939E3" w:rsidRDefault="00D0463E" w:rsidP="0021759A">
            <w:pPr>
              <w:pStyle w:val="naiskr"/>
              <w:spacing w:before="0" w:beforeAutospacing="0" w:after="0" w:afterAutospacing="0"/>
              <w:ind w:left="57" w:right="57"/>
              <w:jc w:val="both"/>
            </w:pPr>
            <w:r w:rsidRPr="00C939E3">
              <w:rPr>
                <w:lang w:eastAsia="en-US" w:bidi="ar-SA"/>
              </w:rPr>
              <w:t>Veselības ministrijas iniciatīva</w:t>
            </w:r>
            <w:r w:rsidR="005254EB" w:rsidRPr="00C939E3">
              <w:rPr>
                <w:lang w:eastAsia="en-US" w:bidi="ar-SA"/>
              </w:rPr>
              <w:t>.</w:t>
            </w:r>
          </w:p>
        </w:tc>
      </w:tr>
      <w:tr w:rsidR="004A282E" w:rsidRPr="00C939E3" w14:paraId="4E2D3F81" w14:textId="77777777" w:rsidTr="00901E21">
        <w:trPr>
          <w:trHeight w:val="56"/>
        </w:trPr>
        <w:tc>
          <w:tcPr>
            <w:tcW w:w="243" w:type="pct"/>
          </w:tcPr>
          <w:p w14:paraId="581A188A" w14:textId="77777777" w:rsidR="002130F9" w:rsidRPr="00C939E3" w:rsidRDefault="002130F9" w:rsidP="006237F0">
            <w:pPr>
              <w:pStyle w:val="naiskr"/>
              <w:spacing w:before="120" w:beforeAutospacing="0" w:after="0" w:afterAutospacing="0"/>
              <w:ind w:left="57" w:right="57"/>
              <w:jc w:val="center"/>
            </w:pPr>
            <w:r w:rsidRPr="00C939E3">
              <w:t xml:space="preserve">2. </w:t>
            </w:r>
          </w:p>
        </w:tc>
        <w:tc>
          <w:tcPr>
            <w:tcW w:w="1311" w:type="pct"/>
          </w:tcPr>
          <w:p w14:paraId="7C2C3CAC" w14:textId="77777777" w:rsidR="002130F9" w:rsidRPr="00C939E3" w:rsidRDefault="002130F9" w:rsidP="006237F0">
            <w:pPr>
              <w:pStyle w:val="naiskr"/>
              <w:tabs>
                <w:tab w:val="left" w:pos="170"/>
              </w:tabs>
              <w:spacing w:before="120" w:beforeAutospacing="0" w:after="0" w:afterAutospacing="0"/>
              <w:ind w:left="57" w:right="57"/>
            </w:pPr>
            <w:r w:rsidRPr="00C939E3">
              <w:t>Pašreizējā situācija un problēmas, kuru risināšanai tiesību akta projekts izstrādāts, tiesiskā regulējuma mērķis un būtība</w:t>
            </w:r>
          </w:p>
        </w:tc>
        <w:tc>
          <w:tcPr>
            <w:tcW w:w="3446" w:type="pct"/>
          </w:tcPr>
          <w:p w14:paraId="6AF6DA10" w14:textId="54D93C20" w:rsidR="004B27F6" w:rsidRDefault="00A238AA" w:rsidP="006237F0">
            <w:pPr>
              <w:spacing w:before="120"/>
              <w:ind w:left="113" w:right="142"/>
              <w:jc w:val="both"/>
            </w:pPr>
            <w:r>
              <w:t>1.</w:t>
            </w:r>
            <w:r w:rsidRPr="001004AA">
              <w:t xml:space="preserve"> Šobrīd spēkā esošā Ministru kabineta 2017.gada 21.marta noteikumu Nr.158 </w:t>
            </w:r>
            <w:r w:rsidRPr="001004AA">
              <w:rPr>
                <w:i/>
                <w:iCs/>
              </w:rPr>
              <w:t>"Darbības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r w:rsidRPr="001004AA">
              <w:t xml:space="preserve"> (turpmāk – MK noteikumi Nr.158)</w:t>
            </w:r>
            <w:r w:rsidR="00542BCA">
              <w:t xml:space="preserve"> </w:t>
            </w:r>
            <w:r w:rsidR="00542BCA">
              <w:rPr>
                <w:rFonts w:ascii="Arial" w:hAnsi="Arial" w:cs="Arial"/>
                <w:color w:val="414142"/>
                <w:sz w:val="20"/>
                <w:szCs w:val="20"/>
                <w:shd w:val="clear" w:color="auto" w:fill="FFFFFF"/>
              </w:rPr>
              <w:t xml:space="preserve"> </w:t>
            </w:r>
            <w:r w:rsidR="00542BCA" w:rsidRPr="004B27F6">
              <w:t xml:space="preserve">8.punkts nosaka  </w:t>
            </w:r>
            <w:r w:rsidR="00A005B8">
              <w:t xml:space="preserve">SAM 9.2.5. </w:t>
            </w:r>
            <w:r w:rsidR="00542BCA" w:rsidRPr="004B27F6">
              <w:t>ietvaros pieejamo kopēj</w:t>
            </w:r>
            <w:r w:rsidR="00313DFF" w:rsidRPr="004B27F6">
              <w:t>o</w:t>
            </w:r>
            <w:r w:rsidR="00542BCA" w:rsidRPr="004B27F6">
              <w:t xml:space="preserve"> attiecinām</w:t>
            </w:r>
            <w:r w:rsidR="00313DFF" w:rsidRPr="004B27F6">
              <w:t xml:space="preserve">o </w:t>
            </w:r>
            <w:r w:rsidR="00542BCA" w:rsidRPr="004B27F6">
              <w:t>finansējumu</w:t>
            </w:r>
            <w:r w:rsidR="00313DFF" w:rsidRPr="004B27F6">
              <w:t xml:space="preserve"> - </w:t>
            </w:r>
            <w:r w:rsidR="00542BCA" w:rsidRPr="004B27F6">
              <w:t>9 960 103 </w:t>
            </w:r>
            <w:proofErr w:type="spellStart"/>
            <w:r w:rsidR="00542BCA" w:rsidRPr="004B27F6">
              <w:rPr>
                <w:i/>
                <w:iCs/>
              </w:rPr>
              <w:t>euro</w:t>
            </w:r>
            <w:proofErr w:type="spellEnd"/>
            <w:r w:rsidR="00542BCA" w:rsidRPr="004B27F6">
              <w:t>, tai skaitā Eiropas Sociālā fonda finansējums – 8 466 087 </w:t>
            </w:r>
            <w:proofErr w:type="spellStart"/>
            <w:r w:rsidR="00542BCA" w:rsidRPr="004B27F6">
              <w:rPr>
                <w:i/>
                <w:iCs/>
              </w:rPr>
              <w:t>euro</w:t>
            </w:r>
            <w:proofErr w:type="spellEnd"/>
            <w:r w:rsidR="00542BCA" w:rsidRPr="004B27F6">
              <w:t> un valsts budžeta finansējums 1 494 016 </w:t>
            </w:r>
            <w:proofErr w:type="spellStart"/>
            <w:r w:rsidR="00542BCA" w:rsidRPr="004B27F6">
              <w:rPr>
                <w:i/>
                <w:iCs/>
              </w:rPr>
              <w:t>euro</w:t>
            </w:r>
            <w:proofErr w:type="spellEnd"/>
            <w:r w:rsidR="00542BCA" w:rsidRPr="004B27F6">
              <w:t>.</w:t>
            </w:r>
            <w:r w:rsidR="00313DFF">
              <w:t xml:space="preserve"> </w:t>
            </w:r>
          </w:p>
          <w:p w14:paraId="2CA9D2C5" w14:textId="7F253B9C" w:rsidR="00B418EF" w:rsidRDefault="004B27F6" w:rsidP="006237F0">
            <w:pPr>
              <w:spacing w:before="120"/>
              <w:ind w:left="113" w:right="142"/>
              <w:jc w:val="both"/>
            </w:pPr>
            <w:r>
              <w:t xml:space="preserve">Saskaņā ar 2020.gada 20.maija Komisijas paziņojumu Eiropas Parlamentam, Eiropadomei, Padomei, Eiropas Centrālajai </w:t>
            </w:r>
            <w:r>
              <w:lastRenderedPageBreak/>
              <w:t xml:space="preserve">bankai, Eiropas Ekonomikas un sociālo lietu komitejai, Reģionu </w:t>
            </w:r>
            <w:r w:rsidRPr="004B27F6">
              <w:t xml:space="preserve">komitejai un </w:t>
            </w:r>
            <w:r>
              <w:t>E</w:t>
            </w:r>
            <w:r w:rsidRPr="004B27F6">
              <w:t xml:space="preserve">iropas </w:t>
            </w:r>
            <w:r>
              <w:t>I</w:t>
            </w:r>
            <w:r w:rsidRPr="004B27F6">
              <w:t>nvestīciju bankai</w:t>
            </w:r>
            <w:r w:rsidRPr="004B27F6">
              <w:rPr>
                <w:vertAlign w:val="superscript"/>
              </w:rPr>
              <w:footnoteReference w:id="2"/>
            </w:r>
            <w:r>
              <w:t xml:space="preserve"> </w:t>
            </w:r>
            <w:r w:rsidR="00313DFF">
              <w:t>Covid-19 krīze dalībvalstu veselības aprūpes sistēmās ir radījusi bezprecedenta spriedzi. Tūlītējā</w:t>
            </w:r>
            <w:r>
              <w:t>s</w:t>
            </w:r>
            <w:r w:rsidR="00313DFF">
              <w:t xml:space="preserve"> reakcij</w:t>
            </w:r>
            <w:r>
              <w:t xml:space="preserve">as pasākumi Covid-19 krīzes pārvarēšanai </w:t>
            </w:r>
            <w:r w:rsidR="00313DFF">
              <w:t>ietv</w:t>
            </w:r>
            <w:r>
              <w:t>er</w:t>
            </w:r>
            <w:r w:rsidR="00313DFF">
              <w:t xml:space="preserve"> </w:t>
            </w:r>
            <w:r>
              <w:t xml:space="preserve">dažādus veselības aprūpes </w:t>
            </w:r>
            <w:r w:rsidR="00313DFF">
              <w:t xml:space="preserve">pasākumus, </w:t>
            </w:r>
            <w:r>
              <w:t xml:space="preserve">t.sk. </w:t>
            </w:r>
            <w:r w:rsidR="00313DFF">
              <w:t>papildu veselības aprūpes darbinieku</w:t>
            </w:r>
            <w:r>
              <w:t xml:space="preserve"> pieņemšana darbā</w:t>
            </w:r>
            <w:r w:rsidR="00313DFF">
              <w:t xml:space="preserve">. </w:t>
            </w:r>
            <w:r>
              <w:t>Eiropas Komisija norādījusi uz faktu, ka d</w:t>
            </w:r>
            <w:r w:rsidR="00313DFF">
              <w:t>audzās dalībvalstīs veselības aprūpes darbinieku trūkums ir kļuvis kritisks darba apstākļu dēļ, kas mazina šo profesiju pievilcību.</w:t>
            </w:r>
            <w:r w:rsidR="006B6E88">
              <w:t xml:space="preserve"> Padomes 2020.gada 20.maija</w:t>
            </w:r>
            <w:r w:rsidR="000F63F4">
              <w:t xml:space="preserve"> </w:t>
            </w:r>
            <w:r w:rsidR="006B6E88">
              <w:t>Ieteikumos par Latvijas 2020. gada valsts reformu programmu un ar ko sniedz Padomes atzinumu par Latvijas 2020. gada stabilitātes programmu</w:t>
            </w:r>
            <w:r w:rsidR="006B6E88">
              <w:rPr>
                <w:rStyle w:val="FootnoteReference"/>
              </w:rPr>
              <w:footnoteReference w:id="3"/>
            </w:r>
            <w:r w:rsidR="006B6E88">
              <w:t xml:space="preserve"> noteikts, ka  Covid-19 uzliesmojums ir prasījis bezprecedenta pasākumus slimības izplatīšanās un ietekmes ierobežošanai. Covid-19 uzliesmojums ir izgaismojis Latvijas veselības sistēmas strukturālos trūkumus, kas tieši saistīti ar tai pieejamo finanšu resursu un cilvēkresursu ierobežotību.</w:t>
            </w:r>
            <w:r w:rsidR="00A005B8">
              <w:t xml:space="preserve"> Padome norāda, ka veselības aprūpes darbaspēka trūkums kavē veselības aprūpes pakalpojumu sniegšanu.  Padome rekomendē investīcijas koncentrēt arī veselības aprūpes cilvēkresursiem un nepieciešamās kapacitātes nodrošināšanai, kas ļautu sniegt visus paredzamos regulāros veselības aprūpes pakalpojumus līdztekus Covid-19 pacientu aprūpei. </w:t>
            </w:r>
          </w:p>
          <w:p w14:paraId="70BD3524" w14:textId="77777777" w:rsidR="000B1B33" w:rsidRDefault="00B418EF" w:rsidP="006237F0">
            <w:pPr>
              <w:pStyle w:val="ListParagraph"/>
              <w:spacing w:before="120"/>
              <w:ind w:left="157" w:right="129"/>
              <w:contextualSpacing w:val="0"/>
              <w:jc w:val="both"/>
              <w:rPr>
                <w:sz w:val="28"/>
                <w:szCs w:val="28"/>
              </w:rPr>
            </w:pPr>
            <w:r>
              <w:t>Valsts kontroles 2019.gada revīzijas ziņojumā “Cilvēkresursi veselības aprūpē”</w:t>
            </w:r>
            <w:r w:rsidR="000B1B33">
              <w:rPr>
                <w:rStyle w:val="FootnoteReference"/>
              </w:rPr>
              <w:footnoteReference w:id="4"/>
            </w:r>
            <w:r>
              <w:t xml:space="preserve"> secināts, ka veselības aprūpes nozarē nodarbināto ārstniecības personu skaits arvien turpina samazināties, vērojama būtiska personāla novecošanās un pastāv liela nevienlīdzība ārstniecības personu izvietojumā reģionos un Rīgā.</w:t>
            </w:r>
            <w:r w:rsidR="00B219E1">
              <w:t xml:space="preserve"> Lai gan ārstu skaits pret iedzīvotāju skaitu Latvijā iekļaujas vidējā līmenī starpvalstu salīdzinājumā, tomēr ir vērojams atsevišķu specialitāšu ārstu trūkums, savukārt reģionos ir vērojams ārstu-speciālistu trūkums gandrīz visās specialitātēs.  Latvija saskaras ar darbaspēka trūkumu veselības aprūpes nozarē, ko atspoguļo viens no zemākajiem medmāsu skaita rādītājiem ES valstīs (46 uz 10 000 iedzīvotāju, salīdzinot ar 84 ES vidēji) un par ES vidējo rādītāju nedaudz zemāks ārstu skaits (32 uz 10 000 iedzīvotāju, salīdzinot ar 36 ES vidēji). Ārstniecības iestādes norāda, ka ir grūti pieņemt darbā un saglabāt pietiekamu skaitu kvalificētu darbinieku. Revidenti secina, ka kritiski nozarē trūkst medicīnas māsu un vecmāšu - attiecīgi vismaz 3598 medicīnas māsas un 295 vecmātes. </w:t>
            </w:r>
            <w:r w:rsidR="000B1B33" w:rsidRPr="000B1B33">
              <w:t>Saskaņā ar 2016.gadā veidoto Veselības ministrijas prognozi, veselības aprūpes sektorā 2025.gadā trūks 973 ārstu, 3050 māsu, 314 zobārstu slodzes, 55,1 vecmātes, 312 ārsta palīga un 1708 māsas palīga slodzes</w:t>
            </w:r>
            <w:r w:rsidR="000B1B33">
              <w:rPr>
                <w:sz w:val="28"/>
                <w:szCs w:val="28"/>
                <w:vertAlign w:val="superscript"/>
              </w:rPr>
              <w:footnoteReference w:id="5"/>
            </w:r>
            <w:r w:rsidR="000B1B33">
              <w:rPr>
                <w:sz w:val="28"/>
                <w:szCs w:val="28"/>
              </w:rPr>
              <w:t>.</w:t>
            </w:r>
          </w:p>
          <w:p w14:paraId="6A5828C0" w14:textId="77777777" w:rsidR="002D49FB" w:rsidRDefault="00B219E1" w:rsidP="006237F0">
            <w:pPr>
              <w:spacing w:before="120"/>
              <w:ind w:left="157" w:right="142"/>
              <w:jc w:val="both"/>
            </w:pPr>
            <w:r>
              <w:lastRenderedPageBreak/>
              <w:t>Tāpat revidenti norāda uz  ārstniecības personu straujo novecošanos, kas ir būtiska problēma veselības aprūpē. Revīzijā veiktā datu analīze liecina, ka 55% ārstniecības un atbalsta personu ir vecumā virs 50 gadiem. Vairākās ārstu specialitātēs situāciju var saukt par kritisku, jo, piemēram, 65% no valstī praktizējošiem ārstiem ar ķirurga specialitāti ir vecāki par 50 gadiem, tai skaitā 21% speciālistu ir sasnieguši 65 gadus. Lai situāciju uzlabotu, ir jāsagatavo jaunie speciālisti un jāveic pasākumi, lai tie paliktu strādāt veselības aprūpes nozarē. Izteikta paaudžu maiņas problēma vērojamas arī primārajā veselības aprūpē.</w:t>
            </w:r>
          </w:p>
          <w:p w14:paraId="2E8F6E35" w14:textId="289B0A88" w:rsidR="00B418EF" w:rsidRDefault="002D49FB" w:rsidP="006237F0">
            <w:pPr>
              <w:spacing w:before="120"/>
              <w:ind w:left="157" w:right="142"/>
              <w:jc w:val="both"/>
            </w:pPr>
            <w:r>
              <w:t>Lai apmierinātu iedzīvotāju un veselības aprūpes sistēmu mainīgās vajadzības, Eiropas savienības valstīm ir liels izaicinājums piesaistīt un saglabāt darbā veselības aprūpes darbiniekus nepieciešamajā skaitā, ģeogrāfiskajā izvietojumā un ar atbilstošām prasmēm. Šīs problēmas kļūst arvien neatliekamākas, jo pieprasījums pēc veselības aprūpes pakalpojumiem palielinās, turpretī veselības aprūpes darbaspēks samazinās, daudzi darba ņēmēji sasniedz pensionēšanās vecumu, tādējādi Eiropas veselības aprūpes sistēmu ilgtspēja un piekļuve veselības aprūpes pakalpojumiem ir apdraudēta. Uz kopējā ES valstu fona, Latvijā veselības nozares cilvēkresursu nodrošinājuma problēmas ir daudz izteiktākas, jo Latvijā veselības un sociālās aprūpes nozare ir to nozaru vidū, kur lielākais nodarbināto īpatsvars ir vecumā virs 50 gadiem, joprojām vairāk kā pusei no kopējā ārstu skaita pamata darba vieta ir Rīgā. Latvijā māsu nodrošinājums ir kritiski zemā līmenī un būtiski, ka slimnīcās, kur tiek nodrošināta neatliekamā medicīniskā palīdzība, sekundārā un terciārā līmeņa veselības aprūpe, nodarbināto ārstu skaits Latvijā ir uz pusi mazāks kā vidēji OECD valstīs. Tieši šo iemeslu dēļ, veselības nozares cilvēkresursi ir pēdējo gadu prioritāte</w:t>
            </w:r>
            <w:r>
              <w:rPr>
                <w:rStyle w:val="FootnoteReference"/>
              </w:rPr>
              <w:footnoteReference w:id="6"/>
            </w:r>
          </w:p>
          <w:p w14:paraId="71E98385" w14:textId="69B64140" w:rsidR="00662ECF" w:rsidRDefault="00C64876" w:rsidP="006237F0">
            <w:pPr>
              <w:spacing w:before="120"/>
              <w:ind w:left="113" w:right="142"/>
              <w:jc w:val="both"/>
            </w:pPr>
            <w:r>
              <w:t xml:space="preserve">VM īsteno projektu Nr. </w:t>
            </w:r>
            <w:r w:rsidRPr="00C64876">
              <w:t>9.2.5.0/17/I/001</w:t>
            </w:r>
            <w:r>
              <w:t xml:space="preserve"> “</w:t>
            </w:r>
            <w:r w:rsidRPr="00C64876">
              <w:t>Ārstniecības un ārstniecības atbalsta personu pieejamības uzlabošana ārpus Rīgas”</w:t>
            </w:r>
            <w:r w:rsidR="00700187">
              <w:t xml:space="preserve">, kura ietvaros </w:t>
            </w:r>
            <w:r w:rsidR="00A005B8">
              <w:t xml:space="preserve">veselības </w:t>
            </w:r>
            <w:r w:rsidR="008016F6">
              <w:t>aprūpes</w:t>
            </w:r>
            <w:r w:rsidR="00A005B8">
              <w:t xml:space="preserve"> pakalpojumu sniegšanai reģionos </w:t>
            </w:r>
            <w:r w:rsidR="008016F6">
              <w:t xml:space="preserve">līdz 2020.gada beigām piesaistītas </w:t>
            </w:r>
            <w:r w:rsidR="00D472A2">
              <w:t xml:space="preserve">775 </w:t>
            </w:r>
            <w:r w:rsidR="008016F6">
              <w:t xml:space="preserve">ārstniecības personas. No kopējām attiecināmajām projekta izmaksām līdz 2021.gadam finansējuma izpilde sasniedz </w:t>
            </w:r>
            <w:r w:rsidR="008016F6" w:rsidRPr="008016F6">
              <w:t xml:space="preserve"> 4 984 185</w:t>
            </w:r>
            <w:r w:rsidR="008016F6">
              <w:t xml:space="preserve"> </w:t>
            </w:r>
            <w:proofErr w:type="spellStart"/>
            <w:r w:rsidR="008016F6" w:rsidRPr="008016F6">
              <w:rPr>
                <w:i/>
                <w:iCs/>
              </w:rPr>
              <w:t>euro</w:t>
            </w:r>
            <w:proofErr w:type="spellEnd"/>
            <w:r w:rsidR="008016F6">
              <w:rPr>
                <w:i/>
                <w:iCs/>
              </w:rPr>
              <w:t>,</w:t>
            </w:r>
            <w:r w:rsidR="008016F6" w:rsidRPr="008016F6">
              <w:t xml:space="preserve"> kas </w:t>
            </w:r>
            <w:r w:rsidR="008016F6">
              <w:t>ir tieši 50</w:t>
            </w:r>
            <w:r w:rsidR="00B418EF">
              <w:t xml:space="preserve">%. </w:t>
            </w:r>
            <w:r w:rsidR="005755BF">
              <w:t xml:space="preserve">Papildus 2021.gada sākumā vēl notiek </w:t>
            </w:r>
            <w:r w:rsidR="00D472A2">
              <w:t>58</w:t>
            </w:r>
            <w:r w:rsidR="005755BF">
              <w:t xml:space="preserve"> pretendentu pieteikumu izskatīšana. </w:t>
            </w:r>
            <w:r w:rsidR="00662ECF">
              <w:t xml:space="preserve"> </w:t>
            </w:r>
          </w:p>
          <w:p w14:paraId="0F4D8F7D" w14:textId="0AC63B9C" w:rsidR="00662ECF" w:rsidRDefault="00662ECF" w:rsidP="006237F0">
            <w:pPr>
              <w:spacing w:before="120"/>
              <w:ind w:left="113" w:right="142"/>
              <w:jc w:val="both"/>
              <w:rPr>
                <w:rFonts w:eastAsia="Calibri"/>
              </w:rPr>
            </w:pPr>
            <w:r>
              <w:t>Izmaksājamo k</w:t>
            </w:r>
            <w:r w:rsidRPr="004A6791">
              <w:t>ompensācij</w:t>
            </w:r>
            <w:r>
              <w:t xml:space="preserve">u apmērs ir tieši atkarīgs no </w:t>
            </w:r>
            <w:r w:rsidRPr="004A6791">
              <w:t xml:space="preserve"> Ministru kabineta 201</w:t>
            </w:r>
            <w:r>
              <w:t>8</w:t>
            </w:r>
            <w:r w:rsidRPr="004A6791">
              <w:t xml:space="preserve">. gada </w:t>
            </w:r>
            <w:r>
              <w:t>18</w:t>
            </w:r>
            <w:r w:rsidRPr="004A6791">
              <w:t xml:space="preserve">. </w:t>
            </w:r>
            <w:r>
              <w:t>decembra</w:t>
            </w:r>
            <w:r w:rsidRPr="004A6791">
              <w:t xml:space="preserve"> noteikum</w:t>
            </w:r>
            <w:r>
              <w:t>os</w:t>
            </w:r>
            <w:r w:rsidRPr="004A6791">
              <w:t xml:space="preserve"> Nr. </w:t>
            </w:r>
            <w:r>
              <w:t>851</w:t>
            </w:r>
            <w:r w:rsidRPr="004A6791">
              <w:t> „</w:t>
            </w:r>
            <w:r w:rsidRPr="003B199A">
              <w:t>Noteikumi par zemāko mēnešalgu un speciālo piemaksu veselības aprūpes jomā nodarbinātajiem</w:t>
            </w:r>
            <w:r w:rsidRPr="004A6791">
              <w:t>” (turpmāk -  MK noteikumi Nr.</w:t>
            </w:r>
            <w:r>
              <w:t>851</w:t>
            </w:r>
            <w:r w:rsidRPr="004A6791">
              <w:t>)</w:t>
            </w:r>
            <w:r>
              <w:rPr>
                <w:rFonts w:eastAsia="Calibri"/>
              </w:rPr>
              <w:t xml:space="preserve"> noteiktajām ārstniecības personu zemākajām mēnešalgām. Tā kā grozījumi ārstniecības personām noteiktajā zemākajā mēnešalgas apmērā kopš SAM </w:t>
            </w:r>
            <w:r>
              <w:rPr>
                <w:rFonts w:eastAsia="Calibri"/>
              </w:rPr>
              <w:lastRenderedPageBreak/>
              <w:t>9.2.5. īstenošanas uzsākšanas ir veikti divas reizes, tādējādi ārstniecības personu zemāko mēnešalgu apmēru palielinot kopumā par 38%, tad ievērojami pieaudzis arī izmaksājamo kompensāciju apmērs. Tāpat izmaksājamo kompensāciju apmēru ietekmē kompensācijas saņēmēja bērnu skaits.</w:t>
            </w:r>
          </w:p>
          <w:p w14:paraId="62C048A5" w14:textId="77D3DFCE" w:rsidR="00662ECF" w:rsidRDefault="00B418EF" w:rsidP="000773E4">
            <w:pPr>
              <w:pStyle w:val="ListParagraph"/>
              <w:tabs>
                <w:tab w:val="left" w:pos="429"/>
              </w:tabs>
              <w:spacing w:before="120"/>
              <w:ind w:left="145" w:right="142"/>
              <w:contextualSpacing w:val="0"/>
              <w:jc w:val="both"/>
            </w:pPr>
            <w:r>
              <w:t xml:space="preserve">Ņemot vērā Eiropas Komisijas un Padomes rekomendācijas, </w:t>
            </w:r>
            <w:r w:rsidR="002D49FB">
              <w:t xml:space="preserve">Valsts kontroles ekspertu un veselības </w:t>
            </w:r>
            <w:r>
              <w:t xml:space="preserve">nozares ekspertu </w:t>
            </w:r>
            <w:r w:rsidR="002D49FB">
              <w:t>norādīto, SAM 9.2.5. kopējā attiecināmā finansējuma apguves progresu un ārstniecības personu</w:t>
            </w:r>
            <w:r w:rsidR="005755BF">
              <w:t xml:space="preserve"> </w:t>
            </w:r>
            <w:r w:rsidR="002D49FB">
              <w:t>izrā</w:t>
            </w:r>
            <w:r w:rsidR="005755BF">
              <w:t>dī</w:t>
            </w:r>
            <w:r w:rsidR="002D49FB">
              <w:t xml:space="preserve">to interesi par dalību </w:t>
            </w:r>
            <w:r w:rsidR="005755BF">
              <w:t xml:space="preserve">SAM 9.2.5 īstenotajā projektā, tika lemts par papildus finansējuma novirzīšanu SAM 9.2.5 īstenošanai. Veselības ministrija ir lēmusi par </w:t>
            </w:r>
            <w:r w:rsidR="005755BF" w:rsidRPr="002E4E72">
              <w:t>9.2.4. specifiskā atbalsta mērķa "Uzlabot pieejamību veselības veicināšanas un slimību profilakses pakalpojumiem, jo īpaši nabadzības un sociālās atstumtības riskam pakļautajiem iedzīvotājiem" 9.2.4.1. pasākum</w:t>
            </w:r>
            <w:r w:rsidR="002E4E72" w:rsidRPr="002E4E72">
              <w:t>iem</w:t>
            </w:r>
            <w:r w:rsidR="005755BF" w:rsidRPr="002E4E72">
              <w:t xml:space="preserve"> "Kompleksi veselības veicināšanas un slimību profilakses pasākumi" (turpmāk – 9.2.4.1. pasākums)   pieejam</w:t>
            </w:r>
            <w:r w:rsidR="002E4E72" w:rsidRPr="002E4E72">
              <w:t>ā</w:t>
            </w:r>
            <w:r w:rsidR="005755BF" w:rsidRPr="002E4E72">
              <w:t xml:space="preserve"> attiecinām</w:t>
            </w:r>
            <w:r w:rsidR="002E4E72" w:rsidRPr="002E4E72">
              <w:t xml:space="preserve">ā </w:t>
            </w:r>
            <w:r w:rsidR="005755BF" w:rsidRPr="002E4E72">
              <w:t>finansējum</w:t>
            </w:r>
            <w:r w:rsidR="002E4E72" w:rsidRPr="002E4E72">
              <w:t>a</w:t>
            </w:r>
            <w:r w:rsidR="005755BF" w:rsidRPr="002E4E72">
              <w:t xml:space="preserve"> </w:t>
            </w:r>
            <w:r w:rsidR="002E4E72" w:rsidRPr="002E4E72">
              <w:t>2 000 000</w:t>
            </w:r>
            <w:r w:rsidR="005755BF" w:rsidRPr="002E4E72">
              <w:t> </w:t>
            </w:r>
            <w:proofErr w:type="spellStart"/>
            <w:r w:rsidR="005755BF" w:rsidRPr="002E4E72">
              <w:rPr>
                <w:i/>
                <w:iCs/>
              </w:rPr>
              <w:t>euro</w:t>
            </w:r>
            <w:proofErr w:type="spellEnd"/>
            <w:r w:rsidR="002E4E72" w:rsidRPr="002E4E72">
              <w:t xml:space="preserve"> apmērā</w:t>
            </w:r>
            <w:r w:rsidR="005755BF" w:rsidRPr="002E4E72">
              <w:t>, tai skaitā Eiropas Sociālā fonda finansējum</w:t>
            </w:r>
            <w:r w:rsidR="002E4E72" w:rsidRPr="002E4E72">
              <w:t>a</w:t>
            </w:r>
            <w:r w:rsidR="005755BF" w:rsidRPr="002E4E72">
              <w:t xml:space="preserve"> </w:t>
            </w:r>
            <w:r w:rsidR="002E4E72" w:rsidRPr="002E4E72">
              <w:t>1 700</w:t>
            </w:r>
            <w:r w:rsidR="005755BF" w:rsidRPr="002E4E72">
              <w:t xml:space="preserve"> </w:t>
            </w:r>
            <w:r w:rsidR="002E4E72" w:rsidRPr="002E4E72">
              <w:t>000</w:t>
            </w:r>
            <w:r w:rsidR="005755BF" w:rsidRPr="002E4E72">
              <w:t> </w:t>
            </w:r>
            <w:proofErr w:type="spellStart"/>
            <w:r w:rsidR="005755BF" w:rsidRPr="002E4E72">
              <w:rPr>
                <w:i/>
                <w:iCs/>
              </w:rPr>
              <w:t>euro</w:t>
            </w:r>
            <w:proofErr w:type="spellEnd"/>
            <w:r w:rsidR="005755BF" w:rsidRPr="002E4E72">
              <w:t> apmērā un valsts budžeta finansējum</w:t>
            </w:r>
            <w:r w:rsidR="002E4E72" w:rsidRPr="002E4E72">
              <w:t>a</w:t>
            </w:r>
            <w:r w:rsidR="005755BF" w:rsidRPr="002E4E72">
              <w:t xml:space="preserve"> </w:t>
            </w:r>
            <w:r w:rsidR="002E4E72" w:rsidRPr="002E4E72">
              <w:t>300</w:t>
            </w:r>
            <w:r w:rsidR="005755BF" w:rsidRPr="002E4E72">
              <w:t xml:space="preserve"> </w:t>
            </w:r>
            <w:r w:rsidR="002E4E72" w:rsidRPr="002E4E72">
              <w:t>000</w:t>
            </w:r>
            <w:r w:rsidR="005755BF" w:rsidRPr="002E4E72">
              <w:t> </w:t>
            </w:r>
            <w:proofErr w:type="spellStart"/>
            <w:r w:rsidR="005755BF" w:rsidRPr="002E4E72">
              <w:rPr>
                <w:i/>
                <w:iCs/>
              </w:rPr>
              <w:t>euro</w:t>
            </w:r>
            <w:proofErr w:type="spellEnd"/>
            <w:r w:rsidR="005755BF" w:rsidRPr="002E4E72">
              <w:rPr>
                <w:i/>
                <w:iCs/>
              </w:rPr>
              <w:t> </w:t>
            </w:r>
            <w:r w:rsidR="005755BF" w:rsidRPr="002E4E72">
              <w:t>apmērā</w:t>
            </w:r>
            <w:r w:rsidR="002E4E72" w:rsidRPr="002E4E72">
              <w:t>, novirzīšanu</w:t>
            </w:r>
            <w:r w:rsidR="002E4E72">
              <w:t xml:space="preserve"> SAM 9.2.5. īstenošanai, ņemot vērā Covid-19 krīzes situācijas radīto ietekmi uz 9.2.4.1. pasākuma ietvaros īstenotajiem sabiedrības veselības pētījumiem, slimību profilakses programmu īstenošanu un iepirkumos radušos ietaupījumu. </w:t>
            </w:r>
            <w:r w:rsidR="000773E4" w:rsidRPr="00260EA3">
              <w:t xml:space="preserve"> SAM 9.2.5. un SAM 9.2.4.1. atbalsts izriet no Eiropas Savienības struktūrfondu 2014. – 2020.gada plānošanas perioda  darbības programmas “Izaugsme un nodarbinātība” 9.prioritātei “</w:t>
            </w:r>
            <w:r w:rsidR="000773E4" w:rsidRPr="000773E4">
              <w:t>Sociālā iekļaušana un nabadzības apkarošana”</w:t>
            </w:r>
            <w:r w:rsidR="000773E4" w:rsidRPr="00260EA3">
              <w:t xml:space="preserve"> pieejamā Eiropas Sociālā fonda finansējuma. Attiecīgi, ja nepastāv risks rādītāju sasniegšanai, būtu atbalstāma finansējuma pārdale starp SAM 9.2.5. un 9.2.4.1. pasākumu.</w:t>
            </w:r>
            <w:r w:rsidR="000773E4">
              <w:t xml:space="preserve"> </w:t>
            </w:r>
            <w:r w:rsidR="002E4E72">
              <w:t>Tuvākajā laikā tiks veikti arī Ministru kabineta 2016.gada 17.maija noteikumu Nr.310. “</w:t>
            </w:r>
            <w:r w:rsidR="002E4E72" w:rsidRPr="002E4E72">
              <w:t>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r w:rsidR="002E4E72">
              <w:t>” grozījumi, paredzot</w:t>
            </w:r>
            <w:r w:rsidR="00045BAB">
              <w:t xml:space="preserve"> atbilstošu</w:t>
            </w:r>
            <w:r w:rsidR="002E4E72">
              <w:t xml:space="preserve"> </w:t>
            </w:r>
            <w:r w:rsidR="00045BAB" w:rsidRPr="00045BAB">
              <w:t>s</w:t>
            </w:r>
            <w:r w:rsidR="002E4E72" w:rsidRPr="00045BAB">
              <w:t>pecifiskā atbalsta ietvaros pieeja</w:t>
            </w:r>
            <w:r w:rsidR="00045BAB" w:rsidRPr="00045BAB">
              <w:t>mā</w:t>
            </w:r>
            <w:r w:rsidR="002E4E72" w:rsidRPr="00045BAB">
              <w:t xml:space="preserve"> kopēj</w:t>
            </w:r>
            <w:r w:rsidR="00045BAB" w:rsidRPr="00045BAB">
              <w:t>ā</w:t>
            </w:r>
            <w:r w:rsidR="002E4E72" w:rsidRPr="00045BAB">
              <w:t xml:space="preserve"> attiecinām</w:t>
            </w:r>
            <w:r w:rsidR="00045BAB" w:rsidRPr="00045BAB">
              <w:t>ā</w:t>
            </w:r>
            <w:r w:rsidR="002E4E72" w:rsidRPr="00045BAB">
              <w:t xml:space="preserve"> finansējum</w:t>
            </w:r>
            <w:r w:rsidR="00045BAB" w:rsidRPr="00045BAB">
              <w:t>a un 9.2.4.1. pasākumam pieejamā finansējuma  samazinājumu.</w:t>
            </w:r>
          </w:p>
          <w:p w14:paraId="6BF94739" w14:textId="60D26ACB" w:rsidR="000F63F4" w:rsidRDefault="00662ECF" w:rsidP="006237F0">
            <w:pPr>
              <w:spacing w:before="120"/>
              <w:ind w:left="113" w:right="142"/>
              <w:jc w:val="both"/>
            </w:pPr>
            <w:r>
              <w:t>2.</w:t>
            </w:r>
            <w:r w:rsidR="001004AA">
              <w:t xml:space="preserve"> </w:t>
            </w:r>
            <w:r w:rsidR="00A238AA">
              <w:t>M</w:t>
            </w:r>
            <w:r w:rsidR="004B27F6">
              <w:t>K</w:t>
            </w:r>
            <w:r w:rsidR="00A238AA">
              <w:t xml:space="preserve"> noteikumu Nr.158</w:t>
            </w:r>
            <w:r w:rsidR="00402986" w:rsidRPr="001004AA">
              <w:t xml:space="preserve"> </w:t>
            </w:r>
            <w:r w:rsidR="00CD792D" w:rsidRPr="001004AA">
              <w:t>15.punkts</w:t>
            </w:r>
            <w:r w:rsidR="00D96B61" w:rsidRPr="001004AA">
              <w:t xml:space="preserve"> </w:t>
            </w:r>
            <w:r w:rsidR="00CD792D" w:rsidRPr="001004AA">
              <w:t xml:space="preserve"> nosaka, ka  atbalstāmās darbības  “projekta vadības un īstenošanas nodrošināšana” finansējums nepārsniedz astoņus procentus no kopējā pieejamā finansējuma un tās ietvaros ir attiecināmas:</w:t>
            </w:r>
            <w:r w:rsidR="001004AA" w:rsidRPr="001004AA">
              <w:t xml:space="preserve"> </w:t>
            </w:r>
            <w:r w:rsidR="00CD792D" w:rsidRPr="001004AA">
              <w:t xml:space="preserve">projekta vadības un īstenošanas personāla atlīdzības izmaksas, kas radušās uz darba līguma vai uzņēmuma (pakalpojuma) līguma pamata vai </w:t>
            </w:r>
            <w:r w:rsidR="00CD792D" w:rsidRPr="001004AA">
              <w:lastRenderedPageBreak/>
              <w:t xml:space="preserve">ieceļot pretendentu valsts civildienesta ierēdņa amatā (tai skaitā normatīvajos aktos darba atlīdzības un nodokļu politikas jomā noteiktās piemaksas un nodokļi) un iekšzemes komandējumu un darba braucienu izmaksas projekta vadības un īstenošanas personālam, kas nodarbināts uz darba līguma pamata vai ieceļot pretendentu valsts civildienesta ierēdņa amatā, atbilstoši normatīvajiem aktiem, kas nosaka kārtību, kādā atlīdzināmi ar komandējumiem saistītie izdevumi. Ar mērķi mazināt administratīvo slogu gan finansējuma saņēmējam, gan uzraugošajām institūcijām, tika rasts risinājums vienotās likmes metodes izmantošanai saskaņā ar </w:t>
            </w:r>
            <w:r w:rsidR="00CD792D" w:rsidRPr="001004AA">
              <w:rPr>
                <w:i/>
                <w:iCs/>
                <w:shd w:val="clear" w:color="auto" w:fill="FFFFFF"/>
              </w:rPr>
              <w:t xml:space="preserve"> Eiropas Parlamenta un Padomes Regulas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CD792D" w:rsidRPr="001004AA">
              <w:rPr>
                <w:shd w:val="clear" w:color="auto" w:fill="FFFFFF"/>
              </w:rPr>
              <w:t xml:space="preserve"> </w:t>
            </w:r>
            <w:r w:rsidR="00CD792D" w:rsidRPr="001004AA">
              <w:t>68.a.panta “Personāla izmaksas par dotācijām un atmaksājamo palīdzību” 1.punktu,kas nosaka, ka tiešās personāla izmaksas par darbību var aprēķināt kā vienotu likmi līdz 20 % no tiešajām izmaksām, kas neaptver minētās darbības personāla izmaksas. Dalībvalstīm nav jāveic nekādi aprēķini, lai noteiktu piemērojamo likmi, ar noteikumu, ka darbības tiešās izmaksas neietver publiskus būvdarbu līgumus, kuru vērtība pārsniedz Direktīvas 2014/24/ES 4. panta a) apakšpunktā noteikto robežvērtību.   Līdz ar to finansējuma saņēmēj</w:t>
            </w:r>
            <w:r w:rsidR="00621E9B">
              <w:t xml:space="preserve">a </w:t>
            </w:r>
            <w:r w:rsidR="00CD792D" w:rsidRPr="001004AA">
              <w:t xml:space="preserve">projekta vadības un īstenošanas personāla atlīdzības izmaksas </w:t>
            </w:r>
            <w:r w:rsidR="001004AA">
              <w:t xml:space="preserve">MK noteikumu </w:t>
            </w:r>
            <w:r w:rsidR="001004AA" w:rsidRPr="000773E4">
              <w:t xml:space="preserve">Nr.158 15.punktā </w:t>
            </w:r>
            <w:r w:rsidR="00CD792D" w:rsidRPr="000773E4">
              <w:t>plāno</w:t>
            </w:r>
            <w:r w:rsidR="001004AA" w:rsidRPr="000773E4">
              <w:t>tas</w:t>
            </w:r>
            <w:r w:rsidR="00CD792D" w:rsidRPr="000773E4">
              <w:t xml:space="preserve"> kā vien</w:t>
            </w:r>
            <w:r w:rsidR="001004AA" w:rsidRPr="000773E4">
              <w:t>a</w:t>
            </w:r>
            <w:r w:rsidR="00CD792D" w:rsidRPr="000773E4">
              <w:t xml:space="preserve"> izmaksu pozīcij</w:t>
            </w:r>
            <w:r w:rsidR="001004AA" w:rsidRPr="000773E4">
              <w:t>a</w:t>
            </w:r>
            <w:r w:rsidR="00CD792D" w:rsidRPr="000773E4">
              <w:t>, piemērojot vienoto likmi 7 procentu apmērā</w:t>
            </w:r>
            <w:r w:rsidR="00CD792D" w:rsidRPr="001004AA">
              <w:t xml:space="preserve"> no šo noteikumu </w:t>
            </w:r>
            <w:r w:rsidR="007F269C" w:rsidRPr="001004AA">
              <w:t>26.2</w:t>
            </w:r>
            <w:r w:rsidR="00CD792D" w:rsidRPr="001004AA">
              <w:t xml:space="preserve">. apakšpunktā minētajām projekta pārējām tiešajām attiecināmajām īstenošanas izmaksām, un minētās atbalstāmās darbības ietvaros ir attiecināmas finansējuma saņēmēja projekta vadības personāla un īstenošanas personāla atlīdzības </w:t>
            </w:r>
            <w:r w:rsidR="00CD792D" w:rsidRPr="001004AA">
              <w:rPr>
                <w:color w:val="000000" w:themeColor="text1"/>
              </w:rPr>
              <w:t>izmaksas</w:t>
            </w:r>
            <w:r w:rsidR="00CD792D" w:rsidRPr="001004AA">
              <w:t xml:space="preserve"> Likm</w:t>
            </w:r>
            <w:r w:rsidR="00421757">
              <w:t>es</w:t>
            </w:r>
            <w:r w:rsidR="00CD792D" w:rsidRPr="001004AA">
              <w:t xml:space="preserve"> apmērs saskaņots ar Finanšu ministriju kā vadošo iestādi.</w:t>
            </w:r>
            <w:r w:rsidR="001004AA" w:rsidRPr="001004AA">
              <w:t xml:space="preserve"> </w:t>
            </w:r>
          </w:p>
          <w:p w14:paraId="3D2E4EBA" w14:textId="1F2DBEE1" w:rsidR="000F63F4" w:rsidRDefault="001004AA" w:rsidP="006237F0">
            <w:pPr>
              <w:spacing w:before="120"/>
              <w:ind w:left="113" w:right="142"/>
              <w:jc w:val="both"/>
              <w:rPr>
                <w:color w:val="000000" w:themeColor="text1"/>
              </w:rPr>
            </w:pPr>
            <w:r w:rsidRPr="001004AA">
              <w:t>Ņemot vērā, ka vienotā likme neietver izmaksas, kas rodas f</w:t>
            </w:r>
            <w:r w:rsidRPr="001004AA">
              <w:rPr>
                <w:color w:val="000000" w:themeColor="text1"/>
              </w:rPr>
              <w:t xml:space="preserve">inansējuma saņēmēja personāla komandējumu un darba braucienu nodrošināšanai, tad MK noteikumi Nr.158 tiek papildināti ar </w:t>
            </w:r>
            <w:r w:rsidRPr="001004AA">
              <w:t>13.1.</w:t>
            </w:r>
            <w:r w:rsidRPr="001004AA">
              <w:rPr>
                <w:vertAlign w:val="superscript"/>
              </w:rPr>
              <w:t xml:space="preserve">1 </w:t>
            </w:r>
            <w:r w:rsidRPr="001004AA">
              <w:t>apakšpunktu, kas nosaka, ka specifiskā atbalsta ietvaros ir atbalstāma arī f</w:t>
            </w:r>
            <w:r w:rsidRPr="001004AA">
              <w:rPr>
                <w:color w:val="000000" w:themeColor="text1"/>
              </w:rPr>
              <w:t>inansējuma saņēmēja personāla komandējumu un darba braucienu nodrošināšana.</w:t>
            </w:r>
            <w:r>
              <w:rPr>
                <w:color w:val="000000" w:themeColor="text1"/>
              </w:rPr>
              <w:t xml:space="preserve"> </w:t>
            </w:r>
          </w:p>
          <w:p w14:paraId="309856EB" w14:textId="10D7C6E0" w:rsidR="000F63F4" w:rsidRPr="0080338F" w:rsidRDefault="001004AA" w:rsidP="0080338F">
            <w:pPr>
              <w:pStyle w:val="naiskr"/>
              <w:spacing w:before="0" w:beforeAutospacing="0" w:after="0" w:afterAutospacing="0"/>
              <w:ind w:left="57" w:right="57" w:firstLine="284"/>
              <w:jc w:val="both"/>
            </w:pPr>
            <w:r>
              <w:rPr>
                <w:color w:val="000000" w:themeColor="text1"/>
              </w:rPr>
              <w:t xml:space="preserve">MK noteikumi Nr.158 papildināti ar </w:t>
            </w:r>
            <w:r w:rsidRPr="001004AA">
              <w:rPr>
                <w:color w:val="000000" w:themeColor="text1"/>
              </w:rPr>
              <w:t>13.6. apakšpunktu</w:t>
            </w:r>
            <w:r>
              <w:rPr>
                <w:color w:val="000000" w:themeColor="text1"/>
              </w:rPr>
              <w:t xml:space="preserve">, kas nosaka jaunu atbalstāmo darbību – </w:t>
            </w:r>
            <w:r w:rsidR="002F62C5">
              <w:rPr>
                <w:color w:val="000000" w:themeColor="text1"/>
              </w:rPr>
              <w:t xml:space="preserve">informācijas tehnoloģiju </w:t>
            </w:r>
            <w:r>
              <w:rPr>
                <w:color w:val="000000" w:themeColor="text1"/>
              </w:rPr>
              <w:t xml:space="preserve">risinājumu izmaksas. Projekta īstenošanas gaitā secināts, ka informācijas pieprasīšana un tās sniegšana pretendentu pieteikumu izskatīšanas un pēcāk - kompensācijas saņēmēju kompensācijas līgumu izpildes uzraudzības procesā ir liels administratīvais slogs gan Projekta vienībai gan Valsts ieņēmumu dienests (turpmāk - VID) darbiniekiem, līdz ar ko </w:t>
            </w:r>
            <w:r>
              <w:rPr>
                <w:color w:val="000000" w:themeColor="text1"/>
              </w:rPr>
              <w:lastRenderedPageBreak/>
              <w:t xml:space="preserve">optimāls risinājums ir </w:t>
            </w:r>
            <w:r w:rsidRPr="001004AA">
              <w:rPr>
                <w:color w:val="000000" w:themeColor="text1"/>
              </w:rPr>
              <w:t>piekļuves platforma</w:t>
            </w:r>
            <w:r>
              <w:rPr>
                <w:color w:val="000000" w:themeColor="text1"/>
              </w:rPr>
              <w:t>s izveidošana</w:t>
            </w:r>
            <w:r w:rsidRPr="001004AA">
              <w:rPr>
                <w:color w:val="000000" w:themeColor="text1"/>
              </w:rPr>
              <w:t xml:space="preserve"> VID datubāzes sistēmai. Nodrošinot šādas platformas izstrādi</w:t>
            </w:r>
            <w:r>
              <w:rPr>
                <w:color w:val="000000" w:themeColor="text1"/>
              </w:rPr>
              <w:t xml:space="preserve"> vienlaikus</w:t>
            </w:r>
            <w:r w:rsidRPr="001004AA">
              <w:rPr>
                <w:color w:val="000000" w:themeColor="text1"/>
              </w:rPr>
              <w:t xml:space="preserve"> tiks</w:t>
            </w:r>
            <w:r>
              <w:rPr>
                <w:color w:val="000000" w:themeColor="text1"/>
              </w:rPr>
              <w:t xml:space="preserve"> </w:t>
            </w:r>
            <w:r w:rsidRPr="001004AA">
              <w:rPr>
                <w:color w:val="000000" w:themeColor="text1"/>
              </w:rPr>
              <w:t>samazinātas komandējumu izmaksas</w:t>
            </w:r>
            <w:r>
              <w:rPr>
                <w:color w:val="000000" w:themeColor="text1"/>
              </w:rPr>
              <w:t xml:space="preserve"> (</w:t>
            </w:r>
            <w:r w:rsidRPr="001004AA">
              <w:rPr>
                <w:color w:val="000000" w:themeColor="text1"/>
              </w:rPr>
              <w:t>n</w:t>
            </w:r>
            <w:r>
              <w:rPr>
                <w:color w:val="000000" w:themeColor="text1"/>
              </w:rPr>
              <w:t>ebūs</w:t>
            </w:r>
            <w:r w:rsidRPr="001004AA">
              <w:rPr>
                <w:color w:val="000000" w:themeColor="text1"/>
              </w:rPr>
              <w:t xml:space="preserve"> nepieciešama patstāvīga transportlīdzekļa īre, degvielas izmaksas un komandējumu izmaksas nepieciešamas tikai retos un īpašos gadījumos</w:t>
            </w:r>
            <w:r>
              <w:rPr>
                <w:color w:val="000000" w:themeColor="text1"/>
              </w:rPr>
              <w:t>) un</w:t>
            </w:r>
            <w:r w:rsidRPr="001004AA">
              <w:rPr>
                <w:color w:val="000000" w:themeColor="text1"/>
              </w:rPr>
              <w:t xml:space="preserve"> darbinieku komandējumiem veltītais laiks</w:t>
            </w:r>
            <w:r>
              <w:rPr>
                <w:color w:val="000000" w:themeColor="text1"/>
              </w:rPr>
              <w:t xml:space="preserve">; </w:t>
            </w:r>
            <w:r w:rsidRPr="001004AA">
              <w:rPr>
                <w:color w:val="000000" w:themeColor="text1"/>
              </w:rPr>
              <w:t xml:space="preserve">ārstniecības iestāžu sniegtie </w:t>
            </w:r>
            <w:r>
              <w:rPr>
                <w:color w:val="000000" w:themeColor="text1"/>
              </w:rPr>
              <w:t>da</w:t>
            </w:r>
            <w:r w:rsidRPr="001004AA">
              <w:rPr>
                <w:color w:val="000000" w:themeColor="text1"/>
              </w:rPr>
              <w:t>rba laika uzskaites dati jau to saņemšanas brīdī tiks pārbaudīti VID datu bāzē</w:t>
            </w:r>
            <w:r>
              <w:rPr>
                <w:color w:val="000000" w:themeColor="text1"/>
              </w:rPr>
              <w:t>,</w:t>
            </w:r>
            <w:r w:rsidRPr="001004AA">
              <w:rPr>
                <w:color w:val="000000" w:themeColor="text1"/>
              </w:rPr>
              <w:t xml:space="preserve"> samazināts C</w:t>
            </w:r>
            <w:r>
              <w:rPr>
                <w:color w:val="000000" w:themeColor="text1"/>
              </w:rPr>
              <w:t>entrālās finanšu un līgumu aģentūras</w:t>
            </w:r>
            <w:r w:rsidRPr="001004AA">
              <w:rPr>
                <w:color w:val="000000" w:themeColor="text1"/>
              </w:rPr>
              <w:t xml:space="preserve"> veikto </w:t>
            </w:r>
            <w:r>
              <w:rPr>
                <w:color w:val="000000" w:themeColor="text1"/>
              </w:rPr>
              <w:t>k</w:t>
            </w:r>
            <w:r w:rsidRPr="001004AA">
              <w:rPr>
                <w:color w:val="000000" w:themeColor="text1"/>
              </w:rPr>
              <w:t xml:space="preserve">ompensāciju līgumu pārbaudēs konstatēto atkāpju skaits, jo ārstniecības iestāžu vai </w:t>
            </w:r>
            <w:r>
              <w:rPr>
                <w:color w:val="000000" w:themeColor="text1"/>
              </w:rPr>
              <w:t>k</w:t>
            </w:r>
            <w:r w:rsidRPr="001004AA">
              <w:rPr>
                <w:color w:val="000000" w:themeColor="text1"/>
              </w:rPr>
              <w:t xml:space="preserve">ompensācijas </w:t>
            </w:r>
            <w:r w:rsidRPr="00973648">
              <w:rPr>
                <w:color w:val="000000" w:themeColor="text1"/>
              </w:rPr>
              <w:t xml:space="preserve">saņēmēja iesniegtās darba laika uzskaites tabelēs iekļautie dati tiks salīdzināti ar faktiski iesniegto informāciju VID, tiks samazināts risks, kas saistīts ar kompensācijas līgumu novēlotu izbeigšanu gadījumos, kad kompensācijas saņēmējs nepaziņo par darba attiecību izbeigšanu. </w:t>
            </w:r>
            <w:r w:rsidR="00BE66F4">
              <w:rPr>
                <w:color w:val="000000" w:themeColor="text1"/>
              </w:rPr>
              <w:t>Paredzēts, ka p</w:t>
            </w:r>
            <w:r w:rsidR="00BE66F4" w:rsidRPr="001004AA">
              <w:rPr>
                <w:color w:val="000000" w:themeColor="text1"/>
              </w:rPr>
              <w:t>iekļuves platforma</w:t>
            </w:r>
            <w:r w:rsidR="00BE66F4">
              <w:rPr>
                <w:color w:val="000000" w:themeColor="text1"/>
              </w:rPr>
              <w:t xml:space="preserve">s </w:t>
            </w:r>
            <w:r w:rsidR="00BE66F4" w:rsidRPr="001004AA">
              <w:rPr>
                <w:color w:val="000000" w:themeColor="text1"/>
              </w:rPr>
              <w:t xml:space="preserve"> VID datubāzes sistēmai</w:t>
            </w:r>
            <w:r w:rsidR="00BE66F4">
              <w:rPr>
                <w:color w:val="000000" w:themeColor="text1"/>
              </w:rPr>
              <w:t xml:space="preserve"> izveidošanas izmaksās apmēram 7 000 </w:t>
            </w:r>
            <w:proofErr w:type="spellStart"/>
            <w:r w:rsidR="00BE66F4" w:rsidRPr="00BE66F4">
              <w:rPr>
                <w:i/>
                <w:iCs/>
                <w:color w:val="000000" w:themeColor="text1"/>
              </w:rPr>
              <w:t>euro</w:t>
            </w:r>
            <w:proofErr w:type="spellEnd"/>
            <w:r w:rsidR="00BE66F4">
              <w:rPr>
                <w:i/>
                <w:iCs/>
                <w:color w:val="000000" w:themeColor="text1"/>
              </w:rPr>
              <w:t>.</w:t>
            </w:r>
            <w:r w:rsidR="00BE66F4" w:rsidRPr="0080338F">
              <w:rPr>
                <w:color w:val="000000" w:themeColor="text1"/>
              </w:rPr>
              <w:t xml:space="preserve"> Var būt nepieciešamas arī izmaksas platformas uzturēšanai</w:t>
            </w:r>
            <w:r w:rsidR="0080338F">
              <w:rPr>
                <w:color w:val="000000" w:themeColor="text1"/>
              </w:rPr>
              <w:t xml:space="preserve">, arī pēc projekta beigām. Ja šāda nepieciešamība radīsies, tad izmaksas tiks segtas </w:t>
            </w:r>
            <w:r w:rsidR="0080338F">
              <w:t>ES fondu 2021-2027.gada plānošanas perioda finansējuma (tehniskās palīdzības projekta vai veselības nozares projekta ar līdzīgu saturu SAM 9.2.5.).</w:t>
            </w:r>
          </w:p>
          <w:p w14:paraId="7517423A" w14:textId="352AE71D" w:rsidR="00E51C4D" w:rsidRDefault="0046475B" w:rsidP="006237F0">
            <w:pPr>
              <w:spacing w:before="120"/>
              <w:ind w:left="113" w:right="142"/>
              <w:jc w:val="both"/>
            </w:pPr>
            <w:r w:rsidRPr="000F63F4">
              <w:rPr>
                <w:color w:val="000000" w:themeColor="text1"/>
              </w:rPr>
              <w:t>Attiecībā uz</w:t>
            </w:r>
            <w:r w:rsidR="00A44515" w:rsidRPr="000F63F4">
              <w:rPr>
                <w:color w:val="000000" w:themeColor="text1"/>
              </w:rPr>
              <w:t xml:space="preserve"> </w:t>
            </w:r>
            <w:r w:rsidR="00A44515" w:rsidRPr="00973648">
              <w:t>13.3. apakšpunktā minēt</w:t>
            </w:r>
            <w:r>
              <w:t>o</w:t>
            </w:r>
            <w:r w:rsidR="00A44515" w:rsidRPr="00973648">
              <w:t xml:space="preserve"> atbalstām</w:t>
            </w:r>
            <w:r>
              <w:t>o</w:t>
            </w:r>
            <w:r w:rsidR="00A44515" w:rsidRPr="00973648">
              <w:t xml:space="preserve"> darbīb</w:t>
            </w:r>
            <w:r>
              <w:t xml:space="preserve">u, </w:t>
            </w:r>
            <w:r w:rsidR="00CD6014" w:rsidRPr="00F84BE9">
              <w:t>svītro</w:t>
            </w:r>
            <w:r w:rsidR="003659C3">
              <w:t xml:space="preserve">ts 23.1.apakšpunkts, ar kuru attiecināmas bija izmaksas par </w:t>
            </w:r>
            <w:r w:rsidR="003659C3" w:rsidRPr="003659C3">
              <w:t xml:space="preserve"> ārstniecības personu attālināto konsultāciju sniegšanu citām ārstniecības personām. </w:t>
            </w:r>
            <w:r w:rsidR="0041241D" w:rsidRPr="00F84BE9">
              <w:t>C</w:t>
            </w:r>
            <w:r w:rsidR="00E53597">
              <w:t>OVID</w:t>
            </w:r>
            <w:r w:rsidR="0041241D" w:rsidRPr="00F84BE9">
              <w:t xml:space="preserve">-19 </w:t>
            </w:r>
            <w:r w:rsidR="002106EC" w:rsidRPr="00F84BE9">
              <w:t>krīze ir izgaismojusi, ka attālināto konsultāciju sniegšana sadarbībā ar Latvijas klīniskajām universitātes</w:t>
            </w:r>
            <w:r w:rsidR="002106EC">
              <w:t xml:space="preserve"> slimnīcām</w:t>
            </w:r>
            <w:r w:rsidR="00D40E22">
              <w:t xml:space="preserve"> šajos apstākļos ir kļuvusi jau par ikdienišķu praksi, tāpēc nozares eksperti snieguši viedokli, ka SAM 9.2.5 ietvaros</w:t>
            </w:r>
            <w:r w:rsidR="00B03332">
              <w:t xml:space="preserve"> pilotprojekts</w:t>
            </w:r>
            <w:r w:rsidR="00D40E22">
              <w:t xml:space="preserve"> </w:t>
            </w:r>
            <w:r w:rsidR="00F84BE9">
              <w:t>attālinātu speciālistu konsultāciju veikšana</w:t>
            </w:r>
            <w:r w:rsidR="00B03332">
              <w:t>i</w:t>
            </w:r>
            <w:r w:rsidR="00F84BE9">
              <w:t xml:space="preserve"> ir zaudēj</w:t>
            </w:r>
            <w:r w:rsidR="00B03332">
              <w:t>is</w:t>
            </w:r>
            <w:r w:rsidR="00F84BE9">
              <w:t xml:space="preserve"> savu aktualitāti</w:t>
            </w:r>
            <w:r w:rsidR="00B03332">
              <w:t>, turpretī ārstniecības pakalpojumu sniegšanas mobilajos kabinetos pakalpojumu pieejamības uzlabošanai reģionos ir perspektīvs</w:t>
            </w:r>
            <w:r w:rsidR="00E53597">
              <w:t xml:space="preserve"> risinājums, jo īpaši veselības krīžu situācijās, ņemot vērā, ka reģionos valsts apmaksātus ambulatoros veselības aprūpes pakalpojumus lielākajā mērā nodrošina tieši stacionārās ārstniecības iestādes, kuru visi resursi COVID-19 krīzes laikā tiek mobilizēti tieši stacionāro pakalpojumu nodrošināšanai</w:t>
            </w:r>
            <w:r w:rsidR="00E51C4D">
              <w:t>, tādējādi ietekmējot pieejamību ambulatorajiem veselības aprūpes pakalpojumiem. Paredzēts, ka ā</w:t>
            </w:r>
            <w:r w:rsidR="00E51C4D" w:rsidRPr="001004AA">
              <w:t xml:space="preserve">rstniecības pakalpojumi mobilajos kabinetos var ietvert, gan mobilo kabinetu nodrošināšanas pakalpojumus, gan cilvēkresursu nodrošinājumu šo mobilo pakalpojumu sniegšanai, gan pašu ārstniecības pakalpojumu apmaksu. </w:t>
            </w:r>
          </w:p>
          <w:p w14:paraId="62F3DD14" w14:textId="26A560C5" w:rsidR="003F1AEF" w:rsidRPr="0046475B" w:rsidRDefault="0046475B" w:rsidP="006237F0">
            <w:pPr>
              <w:spacing w:before="120"/>
              <w:ind w:left="113" w:right="142" w:firstLine="421"/>
              <w:jc w:val="both"/>
            </w:pPr>
            <w:r>
              <w:t>Veicot augstāk minētos precizējumus atbalstāmajās darbībās, veikti tehniski precizējumi ar tiem saistītajos MK noteikumu Nr.158 punktos</w:t>
            </w:r>
            <w:r w:rsidR="00134610">
              <w:t xml:space="preserve"> </w:t>
            </w:r>
            <w:r w:rsidR="00E055A3">
              <w:t>-</w:t>
            </w:r>
            <w:r>
              <w:t xml:space="preserve"> </w:t>
            </w:r>
            <w:r w:rsidR="00E055A3">
              <w:t>p</w:t>
            </w:r>
            <w:r>
              <w:t>recizēt</w:t>
            </w:r>
            <w:r w:rsidR="00E055A3">
              <w:t>i 26., 27.</w:t>
            </w:r>
            <w:r w:rsidR="00E055A3" w:rsidRPr="00E055A3">
              <w:rPr>
                <w:vertAlign w:val="superscript"/>
              </w:rPr>
              <w:t>1</w:t>
            </w:r>
            <w:r w:rsidR="00E055A3">
              <w:t>, 27.</w:t>
            </w:r>
            <w:r w:rsidR="00E055A3" w:rsidRPr="00E055A3">
              <w:rPr>
                <w:vertAlign w:val="superscript"/>
              </w:rPr>
              <w:t>2</w:t>
            </w:r>
            <w:r w:rsidR="00E055A3">
              <w:rPr>
                <w:vertAlign w:val="superscript"/>
              </w:rPr>
              <w:t xml:space="preserve"> </w:t>
            </w:r>
            <w:r w:rsidR="00E055A3">
              <w:t>punkti un 31.4. apakšpunkts.</w:t>
            </w:r>
          </w:p>
          <w:p w14:paraId="44547E8A" w14:textId="2009B4FA" w:rsidR="00354177" w:rsidRDefault="00662ECF" w:rsidP="006237F0">
            <w:pPr>
              <w:pStyle w:val="tv213"/>
              <w:shd w:val="clear" w:color="auto" w:fill="FFFFFF"/>
              <w:spacing w:before="120" w:beforeAutospacing="0" w:after="0" w:afterAutospacing="0"/>
              <w:ind w:left="157" w:right="129"/>
              <w:jc w:val="both"/>
            </w:pPr>
            <w:r>
              <w:lastRenderedPageBreak/>
              <w:t>3</w:t>
            </w:r>
            <w:r w:rsidR="003F1AEF">
              <w:rPr>
                <w:lang w:eastAsia="en-US"/>
              </w:rPr>
              <w:t xml:space="preserve">. Saskaņā ar </w:t>
            </w:r>
            <w:r w:rsidR="003F1AEF" w:rsidRPr="00364D67">
              <w:rPr>
                <w:lang w:eastAsia="en-US"/>
              </w:rPr>
              <w:t xml:space="preserve">2020.gada 11.februāra </w:t>
            </w:r>
            <w:r w:rsidR="00134610" w:rsidRPr="00364D67">
              <w:rPr>
                <w:lang w:eastAsia="en-US"/>
              </w:rPr>
              <w:t>grozījumiem</w:t>
            </w:r>
            <w:r w:rsidR="00134610" w:rsidRPr="00364D67">
              <w:rPr>
                <w:vertAlign w:val="superscript"/>
                <w:lang w:eastAsia="en-US"/>
              </w:rPr>
              <w:footnoteReference w:id="7"/>
            </w:r>
            <w:r w:rsidR="00134610" w:rsidRPr="00364D67">
              <w:rPr>
                <w:lang w:eastAsia="en-US"/>
              </w:rPr>
              <w:t xml:space="preserve"> MK </w:t>
            </w:r>
            <w:r w:rsidR="003F1AEF" w:rsidRPr="00364D67">
              <w:rPr>
                <w:lang w:eastAsia="en-US"/>
              </w:rPr>
              <w:t>noteikum</w:t>
            </w:r>
            <w:r w:rsidR="00134610" w:rsidRPr="00364D67">
              <w:rPr>
                <w:lang w:eastAsia="en-US"/>
              </w:rPr>
              <w:t>os Nr.158</w:t>
            </w:r>
            <w:r w:rsidR="00364D67" w:rsidRPr="00364D67">
              <w:rPr>
                <w:lang w:eastAsia="en-US"/>
              </w:rPr>
              <w:t>, noteikumi tika papildināti, paplašinot</w:t>
            </w:r>
            <w:r w:rsidR="00364D67">
              <w:rPr>
                <w:lang w:eastAsia="en-US"/>
              </w:rPr>
              <w:t xml:space="preserve"> atbalstāmo profesiju sarakstu ar zobārstiem, kas sniedz valsts apmaksātos zobārstniecības pakalpojumus. Projekta īstenoš</w:t>
            </w:r>
            <w:r w:rsidR="00557BE8">
              <w:rPr>
                <w:lang w:eastAsia="en-US"/>
              </w:rPr>
              <w:t xml:space="preserve">anas gaitā konstatēts, ka interesi par dalību projektā izrāda zobārsti, kas MK noteikumu Nr.158 spēkā stāšanās dienā (24.03.2017) ir strādājuši par zobārstiem, tomēr ir snieguši maksas zobārstniecības pakalpojumu, nevis valsts apmaksātos zobārstniecības pakalpojumus. </w:t>
            </w:r>
            <w:r w:rsidR="00557BE8" w:rsidRPr="001004AA">
              <w:t xml:space="preserve">Līgumu ar </w:t>
            </w:r>
            <w:r w:rsidR="00557BE8">
              <w:t>Nacionālo</w:t>
            </w:r>
            <w:r w:rsidR="00557BE8" w:rsidRPr="001004AA">
              <w:t xml:space="preserve"> </w:t>
            </w:r>
            <w:r w:rsidR="00557BE8">
              <w:t xml:space="preserve">veselības dienestu (turpmāk - NVD) </w:t>
            </w:r>
            <w:r w:rsidR="00557BE8" w:rsidRPr="001004AA">
              <w:t>par valsts apmaksātu zobārstniecības pakalpojumu sniegšanu ir noslēguši tikai 15% no kopējā zobārstniecības speciālistu skaita un no tiem tikai 26% ir zobārst</w:t>
            </w:r>
            <w:r w:rsidR="00CB6940">
              <w:t>i (l</w:t>
            </w:r>
            <w:r w:rsidR="00557BE8" w:rsidRPr="001004AA">
              <w:t>ielākais noslēgto līgumu īpatsvars ir par zobu higiēnista pakalpojumu sniegšanu</w:t>
            </w:r>
            <w:r w:rsidR="00CB6940">
              <w:t>). Ņe</w:t>
            </w:r>
            <w:r w:rsidR="00557BE8" w:rsidRPr="001004AA">
              <w:t xml:space="preserve">mot vērā izteikto zobārstu trūkumu un zemo iesaisti </w:t>
            </w:r>
            <w:r w:rsidR="00CB6940">
              <w:t xml:space="preserve">tieši </w:t>
            </w:r>
            <w:r w:rsidR="00557BE8" w:rsidRPr="001004AA">
              <w:t>valsts apmaksāto zobārstniecības paka</w:t>
            </w:r>
            <w:r w:rsidR="00CB6940">
              <w:t xml:space="preserve">lpojumu iesaistē, tiek grozīts 17.2.3.apakšpunkts, nosakot, ka </w:t>
            </w:r>
            <w:r w:rsidR="00CB6940" w:rsidRPr="00CB6940">
              <w:t>uz kompensāciju var pretendēt zobārsts, kuram ir derīgs sertifikāts un kurš šo noteikumu spēkā stāšanās dienā nav strādājis noteiktajā atbalstāmajā specialitātē valsts apmaksāto zobārstniecības pakalpojumu sniegšanā atbalstāmajā iestādē.</w:t>
            </w:r>
            <w:r w:rsidR="00CB6940">
              <w:t xml:space="preserve"> Lai pārliecinātos par minētā kritērija izpildi, gadījumos, ja, izvērtējot pretendenta (zobārsta) pieteikumu kompensāciju saņemšanai, tiks konstatēts, ka pretendents 2017.gada 24.martā ir strādājis par zobārstu ārstniecības iestādē Latvijā, tiks pieprasīta informācija NVD par to, vai konkrētais zobārsts MK notikumu Nr.158 spēkā stāšanās dienā ir </w:t>
            </w:r>
            <w:r w:rsidR="00BB701E">
              <w:t>bijis līgumattiecībās ar NVD kā zobārsts. Ja zobārsts MK noteikumu Nr.158 spēkā stāšanās dienā ir strādājis par zobārstu, bet nav bijis līgumattiecībās ar NVD, sniedzot valsts apmaksātos zobārstniecības pakalpoju</w:t>
            </w:r>
            <w:r w:rsidR="00354177">
              <w:t>mu</w:t>
            </w:r>
            <w:r w:rsidR="00BB701E">
              <w:t xml:space="preserve">s, tad </w:t>
            </w:r>
            <w:r w:rsidR="00354177">
              <w:t>turpmāk arī šāds zobārsts varēs saņemt kompensācijas un iesaistīties valsts apmaksāto zobārstniecības pakalpojumu sniegšanā.</w:t>
            </w:r>
            <w:r w:rsidR="002F62C5">
              <w:t xml:space="preserve"> Tie zobārsti, kas iepriekš neatbilda 17.2.3.apakšpunktā noteiktajiem kritērijiem, jo bija strādājuši specialitātē, sniedzot tikai maksas pakalpojumus</w:t>
            </w:r>
            <w:r w:rsidR="009228CD">
              <w:t>, pēc šo noteikumu grozījumu spēkā stāšanās</w:t>
            </w:r>
            <w:r w:rsidR="002F62C5">
              <w:t xml:space="preserve"> var iesniegt pieteikumu un pretendēt kompensāciju saņemšana</w:t>
            </w:r>
            <w:r w:rsidR="009228CD">
              <w:t>i.</w:t>
            </w:r>
          </w:p>
          <w:p w14:paraId="5EE37AED" w14:textId="77F00BF7" w:rsidR="00DA1D8E" w:rsidRDefault="006237F0" w:rsidP="0021759A">
            <w:pPr>
              <w:pStyle w:val="tv213"/>
              <w:shd w:val="clear" w:color="auto" w:fill="FFFFFF"/>
              <w:spacing w:before="120" w:beforeAutospacing="0" w:after="0" w:afterAutospacing="0"/>
              <w:ind w:left="157" w:right="129"/>
              <w:jc w:val="both"/>
            </w:pPr>
            <w:r>
              <w:t>4</w:t>
            </w:r>
            <w:r w:rsidR="00354177">
              <w:t xml:space="preserve">. </w:t>
            </w:r>
            <w:r w:rsidR="00C03C1A">
              <w:t xml:space="preserve">MK noteikumu Nr. 158 pamata redakcijas 18.2.apakšpunksa paredzēja, ka </w:t>
            </w:r>
            <w:r w:rsidR="00C03C1A" w:rsidRPr="006D657A">
              <w:t> kompensācija</w:t>
            </w:r>
            <w:r w:rsidR="006D657A" w:rsidRPr="006D657A">
              <w:t>i</w:t>
            </w:r>
            <w:r w:rsidR="00C03C1A" w:rsidRPr="006D657A">
              <w:t xml:space="preserve"> ģimenes ārsta prakses pārņemšanai par specifisko zināšanu, informācijas un pieredzes nodošanu</w:t>
            </w:r>
            <w:r w:rsidR="006D657A" w:rsidRPr="006D657A">
              <w:t xml:space="preserve"> var pretendēt</w:t>
            </w:r>
            <w:r w:rsidR="00C03C1A">
              <w:t xml:space="preserve"> </w:t>
            </w:r>
            <w:r w:rsidR="00C03C1A" w:rsidRPr="006D657A">
              <w:t>ģimenes ārsts</w:t>
            </w:r>
            <w:r w:rsidR="006D657A" w:rsidRPr="006D657A">
              <w:t xml:space="preserve"> kas </w:t>
            </w:r>
            <w:r w:rsidR="00C03C1A" w:rsidRPr="006D657A">
              <w:t>pēc šo noteikumu spēkā stāšanās dienas nav strādājis par ģimenes ārstu ģimenes ārsta praksē, kura atrodas ārpus Rīgas</w:t>
            </w:r>
            <w:r w:rsidR="006D657A" w:rsidRPr="006D657A">
              <w:t xml:space="preserve">. </w:t>
            </w:r>
            <w:r w:rsidR="006D657A">
              <w:t xml:space="preserve"> Saskaņā </w:t>
            </w:r>
            <w:r w:rsidR="006D657A">
              <w:lastRenderedPageBreak/>
              <w:t xml:space="preserve">ar </w:t>
            </w:r>
            <w:r w:rsidR="006D657A" w:rsidRPr="00364D67">
              <w:t>2020.gada 11.februāra grozījumiem</w:t>
            </w:r>
            <w:r w:rsidR="006D657A" w:rsidRPr="006D657A">
              <w:rPr>
                <w:vertAlign w:val="superscript"/>
              </w:rPr>
              <w:footnoteReference w:id="8"/>
            </w:r>
            <w:r w:rsidR="006D657A">
              <w:t xml:space="preserve"> MK noteikumos Nr.158, 18.2.apakšpunkts precizēts, nosakot laiku, līdz kuram ģimenes ārsts, kas pārņem ģimenes ārsta praksi, nevar būt strādājis par ģimenes ārstu ģimenes ārsta praksē, kura atrodas ārpus Rīgas, un kā atbilstošākais izvēlēts pieteikuma iesniegšanas brīdis. Projekta īstenošanas gaitā konstatēts, ka nereti tikko sertifikātu ieguvis ģimenes ārsts vai ģimenes ārst</w:t>
            </w:r>
            <w:r w:rsidR="00836313">
              <w:t>s, kas  sniedz maksas pakalpojumus, īslaicīgi aizvieto prombūtnē esošu ģimenes ārstu, kas sniedz valsts apmaksātos veselības aprūpes pakalpojumus. Līdz šim spēkā esošā MK noteikumu Nr.158 redakcija ģimenes ārstiem, kas šo noteikum</w:t>
            </w:r>
            <w:r w:rsidR="0001075A">
              <w:t>u</w:t>
            </w:r>
            <w:r w:rsidR="00836313">
              <w:t xml:space="preserve"> spēkā stāšanās dienā </w:t>
            </w:r>
            <w:r w:rsidR="00CB714A">
              <w:t>un/vai līdz pieteikuma iesniegšanas brīdim, ir aizvietojuši prombūtnē esošu ģimenes ārstu</w:t>
            </w:r>
            <w:r w:rsidR="0001075A">
              <w:t xml:space="preserve"> vai ir strādājuši kā otrs ģimenes ārsts ģimenes ārsta praksē</w:t>
            </w:r>
            <w:r w:rsidR="00CB714A">
              <w:t>, liedza iespēju pretendēt kompensāciju saņemšanai, jo formāli šie ģimenes ārsti ir strādājuši par ģimenes ārstiem ārpus Rīgas. NVD ir sniedzis informāciju, ka MK noteikumu Nr.158 18.2.apakšpunktā noteiktā kritērija dēļ ir kļuvis apgrūtinoši atrast ģimenes ārstu, kas izņēmuma kārtā uz neilgu laiku aizvietotu prombūtnē esošu ģimenes ārstu ārpus Rīgas, jo tas nākotnē liedz iespēju šādiem speciālistiem saņemt kompensācij</w:t>
            </w:r>
            <w:r w:rsidR="0001075A">
              <w:t xml:space="preserve">u par ģimenes ārsta prakses pārņemšanu. Ņemot vērā iepriekš minēto, tiek grozīts MK noteikumu Nr.158 18.2.apakšpunkts, nosakot, ka </w:t>
            </w:r>
            <w:r w:rsidR="00CB714A">
              <w:t xml:space="preserve"> </w:t>
            </w:r>
            <w:r w:rsidR="0001075A" w:rsidRPr="0001075A">
              <w:t xml:space="preserve"> ģimenes ārsts, kas pārņem praksi, pēc šo noteikumu spēkā stāšanās dienas līdz kompensācijas pieteikuma iesniegšanas brīdim nav strādājis par </w:t>
            </w:r>
            <w:r w:rsidR="0001075A" w:rsidRPr="000773E4">
              <w:t xml:space="preserve">ģimenes ārstu ar </w:t>
            </w:r>
            <w:r w:rsidR="00C6140E">
              <w:t>pacientu sarakstā reģistrētām personām</w:t>
            </w:r>
            <w:r w:rsidR="0001075A" w:rsidRPr="000773E4">
              <w:t xml:space="preserve"> ģimenes ārsta praksē, kura atrodas ārpus Rīgas. </w:t>
            </w:r>
            <w:r w:rsidR="000773E4" w:rsidRPr="000773E4">
              <w:t xml:space="preserve"> Saskaņā ar Ministru kabineta 2018. gada 28. augusta noteikumiem Nr. 555 "</w:t>
            </w:r>
            <w:hyperlink r:id="rId9" w:tgtFrame="_blank" w:history="1">
              <w:r w:rsidR="000773E4" w:rsidRPr="000773E4">
                <w:t>Veselības aprūpes pakalpojumu organizēšanas un samaksas kārtība</w:t>
              </w:r>
            </w:hyperlink>
            <w:r w:rsidR="000773E4" w:rsidRPr="000773E4">
              <w:t>" p</w:t>
            </w:r>
            <w:r w:rsidR="0001075A" w:rsidRPr="000773E4">
              <w:t xml:space="preserve">ar ģimenes </w:t>
            </w:r>
            <w:r w:rsidR="00C6140E">
              <w:t xml:space="preserve">ārstu ar pacientu sarakstā reģistrētām personām </w:t>
            </w:r>
            <w:r w:rsidR="0001075A" w:rsidRPr="000773E4">
              <w:t>tiek uzskatīti tie ģimenes ārsti, ar kuriem NVD ir noslēdzis pastāvīgu un patstāvīgu līgumu par valsts apmaksātu primāro veselības aprūpes pakalpojumu sniegšan</w:t>
            </w:r>
            <w:r w:rsidR="00BC2CDF" w:rsidRPr="000773E4">
              <w:t xml:space="preserve">u. </w:t>
            </w:r>
            <w:r w:rsidR="0001075A" w:rsidRPr="000773E4">
              <w:t xml:space="preserve"> Tādējādi kompensācijas saņemšanai</w:t>
            </w:r>
            <w:r w:rsidR="0001075A">
              <w:t xml:space="preserve"> varēs pretendēt arī </w:t>
            </w:r>
            <w:r w:rsidR="00BC2CDF">
              <w:t xml:space="preserve">tie ģimenes </w:t>
            </w:r>
            <w:r w:rsidR="0001075A">
              <w:t>ārsti</w:t>
            </w:r>
            <w:r w:rsidR="00BC2CDF">
              <w:t xml:space="preserve">, kas īslaicīgi ir aizvietojuši prombūtnē esošu ģimenes ārstu vai arī tie ģimenes ārsti, kas ir strādājuši kā otrie ģimenes ārsti cita ģimenes ārsta praksē. </w:t>
            </w:r>
            <w:r w:rsidR="00764AFA">
              <w:t xml:space="preserve"> </w:t>
            </w:r>
            <w:bookmarkStart w:id="10" w:name="_Hlk63712715"/>
            <w:r w:rsidR="00764AFA">
              <w:t>Tie ģimenes ārsti, kas iepriekš neatbilda 18.2.apakšpunktā noteiktajam kritērijam, jo bija strādājuši par ģimenes ārstu ģimenes ārsta praksē ārpus Rīgas, bet nebija noslēguši patstāvīgu un pastāvīgu līgumu ar NVD un to pacientu sarakstā nebija reģistrēti pacienti - pēc šo noteikumu grozījumu spēkā stāšanās dienas var pretendēt ģimenes ārsta prakses pārņemšanai.</w:t>
            </w:r>
            <w:bookmarkEnd w:id="10"/>
          </w:p>
          <w:p w14:paraId="7CC7D245" w14:textId="3FA034D3" w:rsidR="00BC2CDF" w:rsidRDefault="00662ECF" w:rsidP="006237F0">
            <w:pPr>
              <w:pStyle w:val="tv213"/>
              <w:shd w:val="clear" w:color="auto" w:fill="FFFFFF"/>
              <w:spacing w:before="120" w:beforeAutospacing="0" w:after="0" w:afterAutospacing="0"/>
              <w:ind w:left="157" w:right="129"/>
              <w:jc w:val="both"/>
            </w:pPr>
            <w:r>
              <w:t>5</w:t>
            </w:r>
            <w:r w:rsidR="00BC2CDF">
              <w:t>.</w:t>
            </w:r>
            <w:r w:rsidR="00B77F2B">
              <w:t xml:space="preserve"> Noteikumu Nr.158 17.1.4. un 17.1.4.</w:t>
            </w:r>
            <w:r w:rsidR="00B77F2B" w:rsidRPr="00B77F2B">
              <w:rPr>
                <w:vertAlign w:val="superscript"/>
              </w:rPr>
              <w:t>1</w:t>
            </w:r>
            <w:r w:rsidR="00B77F2B">
              <w:t xml:space="preserve">.apakšpunktā </w:t>
            </w:r>
            <w:r w:rsidR="0013306D">
              <w:t>un</w:t>
            </w:r>
            <w:r w:rsidR="00B77F2B">
              <w:t xml:space="preserve"> 43.punkt</w:t>
            </w:r>
            <w:r w:rsidR="0013306D">
              <w:t xml:space="preserve">ā minētas nosaka, ka kompensāciju saņēmējiem </w:t>
            </w:r>
            <w:r w:rsidR="0013306D">
              <w:lastRenderedPageBreak/>
              <w:t xml:space="preserve">vismaz 5 gadus ir jāsniedz valsts apmaksātie veselības aprūpes pakalpojumi. Projekta īstenošanas laikā </w:t>
            </w:r>
            <w:r w:rsidR="003C7652">
              <w:t xml:space="preserve">secināts, ka nereti ārsti un zobārsti papildus </w:t>
            </w:r>
            <w:proofErr w:type="spellStart"/>
            <w:r w:rsidR="003C7652">
              <w:t>pamatspecialitātei</w:t>
            </w:r>
            <w:proofErr w:type="spellEnd"/>
            <w:r w:rsidR="003C7652">
              <w:t xml:space="preserve"> vēlas iegūt arī </w:t>
            </w:r>
            <w:proofErr w:type="spellStart"/>
            <w:r w:rsidR="00CA2315">
              <w:t>apakšspecialitāti</w:t>
            </w:r>
            <w:proofErr w:type="spellEnd"/>
            <w:r w:rsidR="00CA2315">
              <w:t xml:space="preserve"> vai </w:t>
            </w:r>
            <w:proofErr w:type="spellStart"/>
            <w:r w:rsidR="003C7652">
              <w:t>papildspecia</w:t>
            </w:r>
            <w:r w:rsidR="00376D03">
              <w:t>litāti</w:t>
            </w:r>
            <w:proofErr w:type="spellEnd"/>
            <w:r w:rsidR="00CA2315">
              <w:t xml:space="preserve">, kā rezultātā, lai saņemtu valsts apmaksātas rezidentūras vietu, rezidenti slēdz līgumu par darbu attiecīgajā ārstniecības iestādē attiecīgajā profesijā uz 3 gadiem pēc rezidentūras beigšanas. Piemēram, sertificēts zobārsts var vēlēties iegūt bērnu zobārsta </w:t>
            </w:r>
            <w:proofErr w:type="spellStart"/>
            <w:r w:rsidR="00CA2315">
              <w:t>apakšspecialitāti</w:t>
            </w:r>
            <w:proofErr w:type="spellEnd"/>
            <w:r w:rsidR="00E57318">
              <w:t xml:space="preserve">. Zobārsts ir noslēdzis kompensācijas līgumu par darbu zobārsta specialitātē uz 5 gadiem, savukārt, lai zobārsts varētu iegūt valsts apmaksātu rezidentūras vietu bērnu zobārstniecībā, viņam rezidentūras laikā un 3 gadus pēc rezidentūras beigšanas ir jāstrādā pār bērnu zobārstu. Ņemot vērā faktu, ka tik un tā tiktu sasniegts projekta mērķis – </w:t>
            </w:r>
            <w:r w:rsidR="003C3C97" w:rsidRPr="003C3C97">
              <w:t>uzlabota pieejamība ārstniecības personām, kas sniedz pakalpojumus prioritārajās veselības jomās  iedzīvotājiem, kas dzīvo ārpus Rīgas</w:t>
            </w:r>
            <w:r w:rsidR="003C3C97">
              <w:t>, nolemts papildināt MK noteikumus Nr.158 ar 18.6.apakšpunktu, kas nosaka, ka š</w:t>
            </w:r>
            <w:r w:rsidR="00B77F2B" w:rsidRPr="00B77F2B">
              <w:t>o noteikumu 17.1.4. un 17.1.4.</w:t>
            </w:r>
            <w:r w:rsidR="00B77F2B" w:rsidRPr="00B77F2B">
              <w:rPr>
                <w:vertAlign w:val="superscript"/>
              </w:rPr>
              <w:t>1</w:t>
            </w:r>
            <w:r w:rsidR="00B77F2B" w:rsidRPr="00B77F2B">
              <w:t xml:space="preserve"> apakšpunktā minēto prasību izpilde 17.1.1.1.apakšpunktā minētajām ārstniecības personām var ietvert noteikumos par rezidentu uzņemšanas, sadales un rezidentūras finansēšanas kārtību noteikto prasību izpildi attiecībā uz nodarbinātību rezidentūras laikā un pēc rezidentūras beigšanas neatkarīgi no specialitātes, kurā tā tiek veikta.</w:t>
            </w:r>
            <w:r w:rsidR="00573442">
              <w:t xml:space="preserve"> Augstāk minētais paredz, ka konkrētās ārstniecības personas darba laika uzskaitē projekta ietvaros tiktu ieskaitītas arī tās stundas, kuras strādātas rezidentūras citā specialitātē ietvaros vai lai pildītu normatīvajos aktos par re</w:t>
            </w:r>
            <w:r w:rsidR="00573442" w:rsidRPr="00573442">
              <w:t>zidentu uzņemšan</w:t>
            </w:r>
            <w:r w:rsidR="00573442">
              <w:t>u</w:t>
            </w:r>
            <w:r w:rsidR="00573442" w:rsidRPr="00573442">
              <w:t>, sadal</w:t>
            </w:r>
            <w:r w:rsidR="00573442">
              <w:t>i</w:t>
            </w:r>
            <w:r w:rsidR="00573442" w:rsidRPr="00573442">
              <w:t xml:space="preserve"> un rezidentūras finansēšanas kārtīb</w:t>
            </w:r>
            <w:r w:rsidR="00573442">
              <w:t>u noteiktās prasības citā vai tajā pašā specialitātē, ja šāds nosacījums ir attiecināms uz kompensācijas saņēmēju.</w:t>
            </w:r>
          </w:p>
          <w:p w14:paraId="3B2925F3" w14:textId="3FFBD0A0" w:rsidR="00E40D39" w:rsidRDefault="006237F0" w:rsidP="006237F0">
            <w:pPr>
              <w:spacing w:before="120"/>
              <w:ind w:left="157" w:right="129"/>
              <w:jc w:val="both"/>
            </w:pPr>
            <w:r>
              <w:t>6</w:t>
            </w:r>
            <w:r w:rsidR="00573442">
              <w:t xml:space="preserve">. </w:t>
            </w:r>
            <w:r w:rsidR="00E40D39">
              <w:t xml:space="preserve">Attiecībā uz valsts atbalsta nosacījumiem MK noteikumi Nr.158 papildināti ar </w:t>
            </w:r>
            <w:r w:rsidR="00E40D39" w:rsidRPr="00E40D39">
              <w:t>31.1.</w:t>
            </w:r>
            <w:r w:rsidR="00E40D39" w:rsidRPr="00E40D39">
              <w:rPr>
                <w:vertAlign w:val="superscript"/>
              </w:rPr>
              <w:t>1</w:t>
            </w:r>
            <w:r w:rsidR="00E40D39">
              <w:rPr>
                <w:vertAlign w:val="superscript"/>
              </w:rPr>
              <w:t xml:space="preserve"> </w:t>
            </w:r>
            <w:r w:rsidR="00E40D39">
              <w:t xml:space="preserve">apakšpunktu un </w:t>
            </w:r>
            <w:r w:rsidR="00E40D39" w:rsidRPr="00E40D39">
              <w:rPr>
                <w:lang w:eastAsia="lv-LV"/>
              </w:rPr>
              <w:t>33.</w:t>
            </w:r>
            <w:r w:rsidR="00E40D39" w:rsidRPr="00E40D39">
              <w:rPr>
                <w:vertAlign w:val="superscript"/>
                <w:lang w:eastAsia="lv-LV"/>
              </w:rPr>
              <w:t>1</w:t>
            </w:r>
            <w:r w:rsidR="00E40D39" w:rsidRPr="00E40D39">
              <w:rPr>
                <w:lang w:eastAsia="lv-LV"/>
              </w:rPr>
              <w:t xml:space="preserve"> </w:t>
            </w:r>
            <w:r w:rsidR="00E40D39">
              <w:t xml:space="preserve"> punktu. </w:t>
            </w:r>
            <w:r w:rsidR="00E40D39" w:rsidRPr="00E40D39">
              <w:t>31.1.</w:t>
            </w:r>
            <w:r w:rsidR="00E40D39" w:rsidRPr="00E40D39">
              <w:rPr>
                <w:vertAlign w:val="superscript"/>
              </w:rPr>
              <w:t>1</w:t>
            </w:r>
            <w:r w:rsidR="00E40D39">
              <w:rPr>
                <w:vertAlign w:val="superscript"/>
              </w:rPr>
              <w:t xml:space="preserve"> </w:t>
            </w:r>
            <w:r w:rsidR="00E40D39">
              <w:t>apakšpunkts nosaka, ka</w:t>
            </w:r>
            <w:r w:rsidR="00E40D39" w:rsidRPr="00E40D39">
              <w:t xml:space="preserve"> noteikumu 17.1.3.4.apakšpunktā minētajām ārstniecības personām </w:t>
            </w:r>
            <w:r w:rsidR="00E40D39">
              <w:t xml:space="preserve">(Neatliekamās medicīniskās palīdzības dienesta (turpmāk - NMPD) darbiniekiem) </w:t>
            </w:r>
            <w:r w:rsidR="00E40D39" w:rsidRPr="00E40D39">
              <w:t>piešķirtais atbalsts nav uzskatāms par valsts atbalstu</w:t>
            </w:r>
            <w:r w:rsidR="00E40D39">
              <w:t>.</w:t>
            </w:r>
            <w:r w:rsidR="00BA341A">
              <w:t xml:space="preserve"> NMPD darbiniekiem sniegtais atbalsts nav</w:t>
            </w:r>
            <w:r w:rsidR="00BA341A" w:rsidRPr="00764465">
              <w:rPr>
                <w:shd w:val="clear" w:color="auto" w:fill="FFFFFF"/>
              </w:rPr>
              <w:t xml:space="preserve"> kvalificējams kā valsts atbalsts</w:t>
            </w:r>
            <w:r w:rsidR="00BA341A">
              <w:rPr>
                <w:shd w:val="clear" w:color="auto" w:fill="FFFFFF"/>
              </w:rPr>
              <w:t>, jo</w:t>
            </w:r>
            <w:r w:rsidR="00BA341A" w:rsidRPr="00764465">
              <w:rPr>
                <w:shd w:val="clear" w:color="auto" w:fill="FFFFFF"/>
              </w:rPr>
              <w:t xml:space="preserve"> tiek sniegts tikai </w:t>
            </w:r>
            <w:r w:rsidR="00BA341A">
              <w:rPr>
                <w:shd w:val="clear" w:color="auto" w:fill="FFFFFF"/>
              </w:rPr>
              <w:t xml:space="preserve">par darbu </w:t>
            </w:r>
            <w:r w:rsidR="00BA341A">
              <w:rPr>
                <w:iCs/>
              </w:rPr>
              <w:t>NMPD</w:t>
            </w:r>
            <w:r w:rsidR="00BA341A" w:rsidRPr="00764465">
              <w:rPr>
                <w:iCs/>
              </w:rPr>
              <w:t xml:space="preserve"> deleģētās valsts funkcijas veikšanai.</w:t>
            </w:r>
          </w:p>
          <w:p w14:paraId="69E2924B" w14:textId="40C7C868" w:rsidR="00E40D39" w:rsidRDefault="009D1872" w:rsidP="006237F0">
            <w:pPr>
              <w:spacing w:before="120"/>
              <w:ind w:left="157" w:right="129"/>
              <w:jc w:val="both"/>
              <w:rPr>
                <w:lang w:eastAsia="lv-LV"/>
              </w:rPr>
            </w:pPr>
            <w:r>
              <w:t>Lai nodrošinātu Komisijas</w:t>
            </w:r>
            <w:r w:rsidRPr="00116BB1">
              <w:t xml:space="preserve"> lēmuma Nr.2012/21/ES 6.pantā noteikto pārmērīgas kompensācijas kontroli</w:t>
            </w:r>
            <w:r>
              <w:t>, n</w:t>
            </w:r>
            <w:r w:rsidR="00BA341A">
              <w:rPr>
                <w:lang w:eastAsia="lv-LV"/>
              </w:rPr>
              <w:t xml:space="preserve">oteikumi papildināti ar </w:t>
            </w:r>
            <w:r w:rsidR="00E40D39" w:rsidRPr="00E40D39">
              <w:rPr>
                <w:lang w:eastAsia="lv-LV"/>
              </w:rPr>
              <w:t>33.</w:t>
            </w:r>
            <w:r w:rsidR="00E40D39" w:rsidRPr="00E40D39">
              <w:rPr>
                <w:vertAlign w:val="superscript"/>
                <w:lang w:eastAsia="lv-LV"/>
              </w:rPr>
              <w:t>1</w:t>
            </w:r>
            <w:r w:rsidR="00E40D39" w:rsidRPr="00E40D39">
              <w:rPr>
                <w:lang w:eastAsia="lv-LV"/>
              </w:rPr>
              <w:t xml:space="preserve"> </w:t>
            </w:r>
            <w:r>
              <w:rPr>
                <w:lang w:eastAsia="lv-LV"/>
              </w:rPr>
              <w:t>punktu, kas nosaka f</w:t>
            </w:r>
            <w:r w:rsidR="00E40D39" w:rsidRPr="00E40D39">
              <w:rPr>
                <w:lang w:eastAsia="lv-LV"/>
              </w:rPr>
              <w:t xml:space="preserve">inansējuma saņēmēja </w:t>
            </w:r>
            <w:r>
              <w:rPr>
                <w:lang w:eastAsia="lv-LV"/>
              </w:rPr>
              <w:t xml:space="preserve">pienākumu iesniegt </w:t>
            </w:r>
            <w:r w:rsidR="00E40D39" w:rsidRPr="00E40D39">
              <w:rPr>
                <w:lang w:eastAsia="lv-LV"/>
              </w:rPr>
              <w:t>sadarbības iestādei vispārējas tautsaimnieciskas nozīmes pakalpojuma pilnvarojuma uzlicēja apliecinājumu, ka tas kontrolēs un pārskatīs šo noteikumu 3</w:t>
            </w:r>
            <w:r>
              <w:rPr>
                <w:lang w:eastAsia="lv-LV"/>
              </w:rPr>
              <w:t>2</w:t>
            </w:r>
            <w:r w:rsidR="00E40D39" w:rsidRPr="00E40D39">
              <w:rPr>
                <w:lang w:eastAsia="lv-LV"/>
              </w:rPr>
              <w:t>.6. apakšpunktā minētos deleģēšanas līgumā paredzētos atlīdzības (kompensācijas) maksājumus, kā arī novērsīs un atgūs deleģēšanas līgumā paredzēto atlīdzības (kompensācijas) maksājumu pārmaksu</w:t>
            </w:r>
            <w:r>
              <w:rPr>
                <w:lang w:eastAsia="lv-LV"/>
              </w:rPr>
              <w:t>.</w:t>
            </w:r>
          </w:p>
          <w:p w14:paraId="4B601539" w14:textId="53F9EAB5" w:rsidR="009D1872" w:rsidRDefault="009D1872" w:rsidP="006237F0">
            <w:pPr>
              <w:spacing w:before="120"/>
              <w:ind w:left="157" w:right="129"/>
              <w:jc w:val="both"/>
              <w:rPr>
                <w:lang w:eastAsia="lv-LV"/>
              </w:rPr>
            </w:pPr>
            <w:r>
              <w:rPr>
                <w:lang w:eastAsia="lv-LV"/>
              </w:rPr>
              <w:lastRenderedPageBreak/>
              <w:t xml:space="preserve">Attiecībā uz projekta ietvaros piešķiramo </w:t>
            </w:r>
            <w:proofErr w:type="spellStart"/>
            <w:r w:rsidR="007C3B45">
              <w:rPr>
                <w:i/>
                <w:iCs/>
                <w:lang w:eastAsia="lv-LV"/>
              </w:rPr>
              <w:t>d</w:t>
            </w:r>
            <w:r w:rsidRPr="009D1872">
              <w:rPr>
                <w:i/>
                <w:iCs/>
                <w:lang w:eastAsia="lv-LV"/>
              </w:rPr>
              <w:t>e</w:t>
            </w:r>
            <w:proofErr w:type="spellEnd"/>
            <w:r w:rsidRPr="009D1872">
              <w:rPr>
                <w:i/>
                <w:iCs/>
                <w:lang w:eastAsia="lv-LV"/>
              </w:rPr>
              <w:t xml:space="preserve"> </w:t>
            </w:r>
            <w:proofErr w:type="spellStart"/>
            <w:r w:rsidRPr="009D1872">
              <w:rPr>
                <w:i/>
                <w:iCs/>
                <w:lang w:eastAsia="lv-LV"/>
              </w:rPr>
              <w:t>minimis</w:t>
            </w:r>
            <w:proofErr w:type="spellEnd"/>
            <w:r>
              <w:rPr>
                <w:lang w:eastAsia="lv-LV"/>
              </w:rPr>
              <w:t xml:space="preserve"> atbalstu,</w:t>
            </w:r>
            <w:r>
              <w:t xml:space="preserve"> </w:t>
            </w:r>
            <w:r w:rsidR="007C3B45">
              <w:rPr>
                <w:lang w:eastAsia="lv-LV"/>
              </w:rPr>
              <w:t xml:space="preserve">precizēts noteikumu </w:t>
            </w:r>
            <w:r>
              <w:rPr>
                <w:lang w:eastAsia="lv-LV"/>
              </w:rPr>
              <w:t>34.</w:t>
            </w:r>
            <w:r w:rsidRPr="007C3B45">
              <w:rPr>
                <w:vertAlign w:val="superscript"/>
                <w:lang w:eastAsia="lv-LV"/>
              </w:rPr>
              <w:t>1</w:t>
            </w:r>
            <w:r>
              <w:rPr>
                <w:lang w:eastAsia="lv-LV"/>
              </w:rPr>
              <w:t xml:space="preserve"> </w:t>
            </w:r>
            <w:r w:rsidR="007C3B45">
              <w:rPr>
                <w:lang w:eastAsia="lv-LV"/>
              </w:rPr>
              <w:t xml:space="preserve">punkts un tajā noteiktais </w:t>
            </w:r>
            <w:proofErr w:type="spellStart"/>
            <w:r w:rsidR="007C3B45" w:rsidRPr="007C3B45">
              <w:rPr>
                <w:i/>
                <w:iCs/>
                <w:lang w:eastAsia="lv-LV"/>
              </w:rPr>
              <w:t>de</w:t>
            </w:r>
            <w:proofErr w:type="spellEnd"/>
            <w:r w:rsidR="007C3B45" w:rsidRPr="007C3B45">
              <w:rPr>
                <w:i/>
                <w:iCs/>
                <w:lang w:eastAsia="lv-LV"/>
              </w:rPr>
              <w:t xml:space="preserve"> </w:t>
            </w:r>
            <w:proofErr w:type="spellStart"/>
            <w:r w:rsidR="007C3B45" w:rsidRPr="007C3B45">
              <w:rPr>
                <w:i/>
                <w:iCs/>
                <w:lang w:eastAsia="lv-LV"/>
              </w:rPr>
              <w:t>minimis</w:t>
            </w:r>
            <w:proofErr w:type="spellEnd"/>
            <w:r w:rsidR="007C3B45">
              <w:rPr>
                <w:lang w:eastAsia="lv-LV"/>
              </w:rPr>
              <w:t xml:space="preserve"> atbalsta piešķiršanas brīdis. Grozītais noteikumu 34.</w:t>
            </w:r>
            <w:r w:rsidR="007C3B45" w:rsidRPr="007C3B45">
              <w:rPr>
                <w:vertAlign w:val="superscript"/>
                <w:lang w:eastAsia="lv-LV"/>
              </w:rPr>
              <w:t>1</w:t>
            </w:r>
            <w:r w:rsidR="007C3B45">
              <w:rPr>
                <w:lang w:eastAsia="lv-LV"/>
              </w:rPr>
              <w:t xml:space="preserve"> punkts paredz, ka </w:t>
            </w:r>
            <w:proofErr w:type="spellStart"/>
            <w:r w:rsidR="007C3B45" w:rsidRPr="007C3B45">
              <w:rPr>
                <w:i/>
                <w:iCs/>
                <w:lang w:eastAsia="lv-LV"/>
              </w:rPr>
              <w:t>de</w:t>
            </w:r>
            <w:proofErr w:type="spellEnd"/>
            <w:r w:rsidR="007C3B45" w:rsidRPr="007C3B45">
              <w:rPr>
                <w:i/>
                <w:iCs/>
                <w:lang w:eastAsia="lv-LV"/>
              </w:rPr>
              <w:t xml:space="preserve"> </w:t>
            </w:r>
            <w:proofErr w:type="spellStart"/>
            <w:r w:rsidR="007C3B45" w:rsidRPr="007C3B45">
              <w:rPr>
                <w:i/>
                <w:iCs/>
                <w:lang w:eastAsia="lv-LV"/>
              </w:rPr>
              <w:t>minimis</w:t>
            </w:r>
            <w:proofErr w:type="spellEnd"/>
            <w:r w:rsidRPr="007C3B45">
              <w:rPr>
                <w:i/>
                <w:iCs/>
                <w:lang w:eastAsia="lv-LV"/>
              </w:rPr>
              <w:t xml:space="preserve"> </w:t>
            </w:r>
            <w:r>
              <w:rPr>
                <w:lang w:eastAsia="lv-LV"/>
              </w:rPr>
              <w:t xml:space="preserve">piešķirams ar dienu, kad tiek nosūtīts informatīvs paziņojums par </w:t>
            </w:r>
            <w:proofErr w:type="spellStart"/>
            <w:r w:rsidR="007C3B45">
              <w:rPr>
                <w:i/>
                <w:iCs/>
                <w:lang w:eastAsia="lv-LV"/>
              </w:rPr>
              <w:t>d</w:t>
            </w:r>
            <w:r w:rsidRPr="007C3B45">
              <w:rPr>
                <w:i/>
                <w:iCs/>
                <w:lang w:eastAsia="lv-LV"/>
              </w:rPr>
              <w:t>e</w:t>
            </w:r>
            <w:proofErr w:type="spellEnd"/>
            <w:r w:rsidRPr="007C3B45">
              <w:rPr>
                <w:i/>
                <w:iCs/>
                <w:lang w:eastAsia="lv-LV"/>
              </w:rPr>
              <w:t xml:space="preserve"> </w:t>
            </w:r>
            <w:proofErr w:type="spellStart"/>
            <w:r w:rsidRPr="007C3B45">
              <w:rPr>
                <w:i/>
                <w:iCs/>
                <w:lang w:eastAsia="lv-LV"/>
              </w:rPr>
              <w:t>minimis</w:t>
            </w:r>
            <w:proofErr w:type="spellEnd"/>
            <w:r>
              <w:rPr>
                <w:lang w:eastAsia="lv-LV"/>
              </w:rPr>
              <w:t xml:space="preserve"> atbalsta piešķiršanu</w:t>
            </w:r>
            <w:r w:rsidR="007C3B45">
              <w:rPr>
                <w:lang w:eastAsia="lv-LV"/>
              </w:rPr>
              <w:t xml:space="preserve">. </w:t>
            </w:r>
          </w:p>
          <w:p w14:paraId="788A01E2" w14:textId="20454857" w:rsidR="000773E4" w:rsidRDefault="006237F0" w:rsidP="000773E4">
            <w:pPr>
              <w:spacing w:before="120"/>
              <w:ind w:left="157" w:right="129"/>
              <w:jc w:val="both"/>
              <w:rPr>
                <w:lang w:eastAsia="lv-LV"/>
              </w:rPr>
            </w:pPr>
            <w:r>
              <w:rPr>
                <w:lang w:eastAsia="lv-LV"/>
              </w:rPr>
              <w:t>7</w:t>
            </w:r>
            <w:r w:rsidR="007C3B45">
              <w:rPr>
                <w:lang w:eastAsia="lv-LV"/>
              </w:rPr>
              <w:t>. Līdz šim MK noteikumu Nr.158</w:t>
            </w:r>
            <w:r w:rsidR="00A02C2A">
              <w:rPr>
                <w:lang w:eastAsia="lv-LV"/>
              </w:rPr>
              <w:t xml:space="preserve"> 43.punkts paredzēja noteikumu un kompensācijas līguma neizpildes gadījumā kompensācijas līguma laušanu un kompensācijas atgūšanu, bet  projekta mērķa veiksmīgai sasniegšanai</w:t>
            </w:r>
            <w:r w:rsidR="00100988">
              <w:rPr>
                <w:lang w:eastAsia="lv-LV"/>
              </w:rPr>
              <w:t xml:space="preserve"> veselības nozares  interesēs ir  piedāvāt iespēju kompensācijas saņēmējam pagarināt kompensācijas līguma darbības </w:t>
            </w:r>
            <w:r w:rsidR="007E508E">
              <w:rPr>
                <w:lang w:eastAsia="lv-LV"/>
              </w:rPr>
              <w:t>laiku</w:t>
            </w:r>
            <w:r w:rsidR="00100988">
              <w:rPr>
                <w:lang w:eastAsia="lv-LV"/>
              </w:rPr>
              <w:t xml:space="preserve"> par noteikumu nosacījumu un kompensācijas līguma prasību neizpildes laiku. MK noteikumu Nr.158 43.punkts tiek izteikts citā redakcijā, nosakot alternatīvu iespēju kompensācijas līguma laušanai un kompensācijas atgūšanai -  </w:t>
            </w:r>
            <w:r w:rsidR="007E508E">
              <w:rPr>
                <w:lang w:eastAsia="lv-LV"/>
              </w:rPr>
              <w:t xml:space="preserve">kompensācijas līguma darbības laika pagarināšanu. </w:t>
            </w:r>
            <w:r w:rsidR="00100988">
              <w:rPr>
                <w:lang w:eastAsia="lv-LV"/>
              </w:rPr>
              <w:t xml:space="preserve">Piemēram, ja projekta vienība, noslēdzoties summētā darba laika pārskata periodam, konstatē, ka kompensācijas saņēmējs nav izpildījis saistības par 4 mēnešiem, tad saskaņā ar </w:t>
            </w:r>
            <w:r w:rsidR="007E508E">
              <w:rPr>
                <w:lang w:eastAsia="lv-LV"/>
              </w:rPr>
              <w:t xml:space="preserve">MK noteikumu Nr.158 43.punktu turpmāk būs iespējams lauzt kompensācijas līgumu un atgūt kompensāciju vai pagarināt kompensācijas līgumu </w:t>
            </w:r>
            <w:r w:rsidR="00DF15E6">
              <w:rPr>
                <w:lang w:eastAsia="lv-LV"/>
              </w:rPr>
              <w:t xml:space="preserve">attiecīgi </w:t>
            </w:r>
            <w:r w:rsidR="007E508E">
              <w:rPr>
                <w:lang w:eastAsia="lv-LV"/>
              </w:rPr>
              <w:t>par 1 mēnesi (</w:t>
            </w:r>
            <w:r w:rsidR="0094615E">
              <w:rPr>
                <w:lang w:eastAsia="lv-LV"/>
              </w:rPr>
              <w:t>ja kompensācijas saņēmējs jau nav pārsniedzis 43.punktā noteikto 3 mēnešu saistību neizpildes te</w:t>
            </w:r>
            <w:r w:rsidR="00DF15E6">
              <w:rPr>
                <w:lang w:eastAsia="lv-LV"/>
              </w:rPr>
              <w:t>r</w:t>
            </w:r>
            <w:r w:rsidR="0094615E">
              <w:rPr>
                <w:lang w:eastAsia="lv-LV"/>
              </w:rPr>
              <w:t>miņu</w:t>
            </w:r>
            <w:r w:rsidR="007E508E">
              <w:rPr>
                <w:lang w:eastAsia="lv-LV"/>
              </w:rPr>
              <w:t>)</w:t>
            </w:r>
            <w:r w:rsidR="0094615E">
              <w:rPr>
                <w:lang w:eastAsia="lv-LV"/>
              </w:rPr>
              <w:t>.</w:t>
            </w:r>
          </w:p>
          <w:p w14:paraId="1CF5017B" w14:textId="7F4289CA" w:rsidR="00421757" w:rsidRDefault="00421757" w:rsidP="00421757">
            <w:pPr>
              <w:spacing w:before="120"/>
              <w:ind w:left="157" w:right="129"/>
              <w:jc w:val="both"/>
              <w:rPr>
                <w:lang w:eastAsia="lv-LV"/>
              </w:rPr>
            </w:pPr>
            <w:r>
              <w:rPr>
                <w:lang w:eastAsia="lv-LV"/>
              </w:rPr>
              <w:t>8.</w:t>
            </w:r>
            <w:r>
              <w:t xml:space="preserve"> </w:t>
            </w:r>
            <w:r>
              <w:rPr>
                <w:lang w:eastAsia="lv-LV"/>
              </w:rPr>
              <w:t xml:space="preserve">Noteikumu projekts papildina noteikumus ar jaunu VII nodaļu “VII Noslēguma jautājumi” un jaunu 48. punktu, kas nosaka, ka šo noteikumu 15. punktā minētā vienoto izmaksu likme piemērojama ar 2021. gada 1. janvāri. </w:t>
            </w:r>
            <w:r w:rsidRPr="009B0B4A">
              <w:rPr>
                <w:lang w:eastAsia="lv-LV"/>
              </w:rPr>
              <w:t>Līdz 01.0</w:t>
            </w:r>
            <w:r>
              <w:rPr>
                <w:lang w:eastAsia="lv-LV"/>
              </w:rPr>
              <w:t>1</w:t>
            </w:r>
            <w:r w:rsidRPr="009B0B4A">
              <w:rPr>
                <w:lang w:eastAsia="lv-LV"/>
              </w:rPr>
              <w:t>.202</w:t>
            </w:r>
            <w:r>
              <w:rPr>
                <w:lang w:eastAsia="lv-LV"/>
              </w:rPr>
              <w:t>1</w:t>
            </w:r>
            <w:r w:rsidRPr="009B0B4A">
              <w:rPr>
                <w:lang w:eastAsia="lv-LV"/>
              </w:rPr>
              <w:t>. projekta vadības un īstenošanas personāla atlīdzības izmaksas tiek attiecinātas kā faktiskās izmaksas.</w:t>
            </w:r>
          </w:p>
          <w:p w14:paraId="7B10D158" w14:textId="7D543BA2" w:rsidR="000773E4" w:rsidRPr="00260EA3" w:rsidRDefault="000773E4" w:rsidP="000773E4">
            <w:pPr>
              <w:spacing w:before="120"/>
              <w:ind w:left="157" w:right="129"/>
              <w:jc w:val="both"/>
              <w:rPr>
                <w:lang w:eastAsia="lv-LV"/>
              </w:rPr>
            </w:pPr>
            <w:r w:rsidRPr="00260EA3">
              <w:t xml:space="preserve">Kopumā minētie grozījumi ir vērsti uz labāku </w:t>
            </w:r>
            <w:r>
              <w:t>SAM 9.2.5. īstenošanu,</w:t>
            </w:r>
            <w:r w:rsidRPr="00260EA3">
              <w:t xml:space="preserve"> sasniedzot izvirzītos mērķus un </w:t>
            </w:r>
            <w:r w:rsidR="00996F9C">
              <w:t xml:space="preserve">uzlabojot projekta īstenošanu. Ņemot vērā faktu, ka grozījumi paredz papildus finansējumu SAM 9.2.5. mērķa īstenošanai, būs nepieciešams veikt projekta Nr. </w:t>
            </w:r>
            <w:r w:rsidR="00996F9C" w:rsidRPr="00C64876">
              <w:t>9.2.5.0/17/I/001</w:t>
            </w:r>
            <w:r w:rsidR="00996F9C">
              <w:t xml:space="preserve"> “</w:t>
            </w:r>
            <w:r w:rsidR="00996F9C" w:rsidRPr="00C64876">
              <w:t>Ārstniecības un ārstniecības atbalsta personu pieejamības uzlabošana ārpus Rīgas”</w:t>
            </w:r>
            <w:r w:rsidR="00996F9C">
              <w:t xml:space="preserve"> grozījumus.</w:t>
            </w:r>
          </w:p>
          <w:p w14:paraId="1A912B0D" w14:textId="2E64F9AE" w:rsidR="000773E4" w:rsidRPr="001004AA" w:rsidRDefault="000773E4" w:rsidP="006237F0">
            <w:pPr>
              <w:pStyle w:val="tv213"/>
              <w:shd w:val="clear" w:color="auto" w:fill="FFFFFF"/>
              <w:spacing w:before="120" w:beforeAutospacing="0" w:after="0" w:afterAutospacing="0"/>
              <w:jc w:val="right"/>
            </w:pPr>
          </w:p>
        </w:tc>
      </w:tr>
      <w:tr w:rsidR="004A282E" w:rsidRPr="00C939E3" w14:paraId="3A41624B" w14:textId="77777777" w:rsidTr="00901E21">
        <w:trPr>
          <w:trHeight w:val="476"/>
        </w:trPr>
        <w:tc>
          <w:tcPr>
            <w:tcW w:w="243" w:type="pct"/>
          </w:tcPr>
          <w:p w14:paraId="38EA1107" w14:textId="77777777" w:rsidR="002130F9" w:rsidRPr="00C939E3" w:rsidRDefault="002130F9" w:rsidP="006237F0">
            <w:pPr>
              <w:pStyle w:val="naiskr"/>
              <w:spacing w:before="120" w:beforeAutospacing="0" w:after="0" w:afterAutospacing="0"/>
              <w:ind w:left="57" w:right="57"/>
              <w:jc w:val="center"/>
            </w:pPr>
            <w:r w:rsidRPr="00C939E3">
              <w:lastRenderedPageBreak/>
              <w:t xml:space="preserve">3. </w:t>
            </w:r>
          </w:p>
        </w:tc>
        <w:tc>
          <w:tcPr>
            <w:tcW w:w="1311" w:type="pct"/>
          </w:tcPr>
          <w:p w14:paraId="069C193B" w14:textId="558F6DF6" w:rsidR="002130F9" w:rsidRPr="00C939E3" w:rsidRDefault="00EC2621" w:rsidP="006237F0">
            <w:pPr>
              <w:pStyle w:val="naiskr"/>
              <w:spacing w:before="120" w:beforeAutospacing="0" w:after="0" w:afterAutospacing="0"/>
              <w:ind w:left="57" w:right="57"/>
            </w:pPr>
            <w:r w:rsidRPr="00C939E3">
              <w:t>Projekta izstrādē iesaistītās institūcijas un publiskas personas kapitālsabiedrības</w:t>
            </w:r>
          </w:p>
        </w:tc>
        <w:tc>
          <w:tcPr>
            <w:tcW w:w="3446" w:type="pct"/>
          </w:tcPr>
          <w:p w14:paraId="2D809E30" w14:textId="6936E460" w:rsidR="002130F9" w:rsidRPr="00C939E3" w:rsidRDefault="0091521A" w:rsidP="006237F0">
            <w:pPr>
              <w:pStyle w:val="naiskr"/>
              <w:spacing w:before="120" w:beforeAutospacing="0" w:after="0" w:afterAutospacing="0"/>
              <w:ind w:left="112" w:right="57"/>
              <w:jc w:val="both"/>
              <w:rPr>
                <w:szCs w:val="28"/>
              </w:rPr>
            </w:pPr>
            <w:r w:rsidRPr="00C939E3">
              <w:t>Noteikumu projekta</w:t>
            </w:r>
            <w:r w:rsidR="002130F9" w:rsidRPr="00C939E3">
              <w:t xml:space="preserve"> izstrād</w:t>
            </w:r>
            <w:r w:rsidR="00DF15E6">
              <w:t>ē</w:t>
            </w:r>
            <w:r w:rsidR="002130F9" w:rsidRPr="00C939E3">
              <w:t xml:space="preserve"> tika </w:t>
            </w:r>
            <w:r w:rsidR="002130F9" w:rsidRPr="00C939E3">
              <w:rPr>
                <w:szCs w:val="28"/>
              </w:rPr>
              <w:t>iesaistīta</w:t>
            </w:r>
            <w:r w:rsidR="002130F9" w:rsidRPr="00C939E3">
              <w:t xml:space="preserve"> </w:t>
            </w:r>
            <w:r w:rsidR="00DF15E6">
              <w:t>Veselības ministrija</w:t>
            </w:r>
          </w:p>
        </w:tc>
      </w:tr>
      <w:tr w:rsidR="004A282E" w:rsidRPr="00C939E3" w14:paraId="4B0FF8BC" w14:textId="77777777" w:rsidTr="00901E21">
        <w:tc>
          <w:tcPr>
            <w:tcW w:w="243" w:type="pct"/>
          </w:tcPr>
          <w:p w14:paraId="79649C54" w14:textId="77777777" w:rsidR="002130F9" w:rsidRPr="00C939E3" w:rsidRDefault="002130F9" w:rsidP="006237F0">
            <w:pPr>
              <w:pStyle w:val="naiskr"/>
              <w:spacing w:before="120" w:beforeAutospacing="0" w:after="0" w:afterAutospacing="0"/>
              <w:ind w:left="57" w:right="57"/>
              <w:jc w:val="center"/>
            </w:pPr>
            <w:r w:rsidRPr="00C939E3">
              <w:t xml:space="preserve">4. </w:t>
            </w:r>
          </w:p>
        </w:tc>
        <w:tc>
          <w:tcPr>
            <w:tcW w:w="1311" w:type="pct"/>
          </w:tcPr>
          <w:p w14:paraId="23CE2E7D" w14:textId="77777777" w:rsidR="002130F9" w:rsidRPr="00C939E3" w:rsidRDefault="002130F9" w:rsidP="006237F0">
            <w:pPr>
              <w:pStyle w:val="naiskr"/>
              <w:spacing w:before="120" w:beforeAutospacing="0" w:after="0" w:afterAutospacing="0"/>
              <w:ind w:left="57" w:right="57"/>
            </w:pPr>
            <w:r w:rsidRPr="00C939E3">
              <w:t>Cita informācija</w:t>
            </w:r>
          </w:p>
        </w:tc>
        <w:tc>
          <w:tcPr>
            <w:tcW w:w="3446" w:type="pct"/>
          </w:tcPr>
          <w:p w14:paraId="37DA4182" w14:textId="77777777" w:rsidR="002130F9" w:rsidRPr="00C939E3" w:rsidRDefault="002130F9" w:rsidP="00996F9C">
            <w:pPr>
              <w:pStyle w:val="naiskr"/>
              <w:spacing w:before="120" w:beforeAutospacing="0" w:after="0" w:afterAutospacing="0"/>
              <w:ind w:right="57" w:firstLine="157"/>
              <w:jc w:val="both"/>
            </w:pPr>
            <w:r w:rsidRPr="00C939E3">
              <w:t xml:space="preserve">Nav. </w:t>
            </w:r>
          </w:p>
        </w:tc>
      </w:tr>
    </w:tbl>
    <w:p w14:paraId="5139F97D" w14:textId="77777777" w:rsidR="00513043" w:rsidRPr="00C939E3" w:rsidRDefault="00513043" w:rsidP="006237F0">
      <w:pPr>
        <w:autoSpaceDE w:val="0"/>
        <w:autoSpaceDN w:val="0"/>
        <w:adjustRightInd w:val="0"/>
        <w:spacing w:before="120"/>
        <w:jc w:val="both"/>
        <w:outlineLvl w:val="0"/>
      </w:pPr>
    </w:p>
    <w:tbl>
      <w:tblPr>
        <w:tblpPr w:leftFromText="180" w:rightFromText="180" w:vertAnchor="text" w:horzAnchor="margin" w:tblpX="-276" w:tblpY="11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842"/>
        <w:gridCol w:w="7078"/>
      </w:tblGrid>
      <w:tr w:rsidR="004A282E" w:rsidRPr="00C939E3" w14:paraId="14FECD6B" w14:textId="77777777" w:rsidTr="00901E21">
        <w:trPr>
          <w:trHeight w:val="556"/>
        </w:trPr>
        <w:tc>
          <w:tcPr>
            <w:tcW w:w="9640" w:type="dxa"/>
            <w:gridSpan w:val="3"/>
            <w:vAlign w:val="center"/>
          </w:tcPr>
          <w:p w14:paraId="38251FFB" w14:textId="77777777" w:rsidR="003735C6" w:rsidRPr="00C939E3" w:rsidRDefault="003735C6" w:rsidP="006237F0">
            <w:pPr>
              <w:pStyle w:val="naisnod"/>
              <w:spacing w:before="120" w:beforeAutospacing="0" w:after="0" w:afterAutospacing="0"/>
              <w:ind w:left="57" w:right="57"/>
              <w:jc w:val="center"/>
              <w:rPr>
                <w:b/>
              </w:rPr>
            </w:pPr>
            <w:r w:rsidRPr="00C939E3">
              <w:rPr>
                <w:b/>
              </w:rPr>
              <w:t>II</w:t>
            </w:r>
            <w:r w:rsidR="00D46E0B" w:rsidRPr="00C939E3">
              <w:rPr>
                <w:b/>
              </w:rPr>
              <w:t xml:space="preserve">. </w:t>
            </w:r>
            <w:r w:rsidRPr="00C939E3">
              <w:rPr>
                <w:b/>
              </w:rPr>
              <w:t>Tiesību akta projekta ietekme uz sabiedrību, tautsaimniecības attīstību</w:t>
            </w:r>
          </w:p>
          <w:p w14:paraId="0348A56C" w14:textId="77777777" w:rsidR="003735C6" w:rsidRPr="00C939E3" w:rsidRDefault="003735C6" w:rsidP="006237F0">
            <w:pPr>
              <w:pStyle w:val="naisnod"/>
              <w:spacing w:before="120" w:beforeAutospacing="0" w:after="0" w:afterAutospacing="0"/>
              <w:ind w:left="57" w:right="57"/>
              <w:jc w:val="center"/>
              <w:rPr>
                <w:b/>
              </w:rPr>
            </w:pPr>
            <w:r w:rsidRPr="00C939E3">
              <w:rPr>
                <w:b/>
              </w:rPr>
              <w:t>un administratīvo slogu</w:t>
            </w:r>
          </w:p>
        </w:tc>
      </w:tr>
      <w:tr w:rsidR="004A282E" w:rsidRPr="00C939E3" w14:paraId="3EF7B1B9" w14:textId="77777777" w:rsidTr="00901E21">
        <w:trPr>
          <w:trHeight w:val="467"/>
        </w:trPr>
        <w:tc>
          <w:tcPr>
            <w:tcW w:w="720" w:type="dxa"/>
          </w:tcPr>
          <w:p w14:paraId="0E1B49A8" w14:textId="77777777" w:rsidR="001C4D3E" w:rsidRPr="00C939E3" w:rsidRDefault="001C4D3E" w:rsidP="006237F0">
            <w:pPr>
              <w:pStyle w:val="naiskr"/>
              <w:spacing w:before="120" w:beforeAutospacing="0" w:after="0" w:afterAutospacing="0"/>
              <w:ind w:left="57" w:right="57"/>
              <w:jc w:val="both"/>
            </w:pPr>
            <w:r w:rsidRPr="00C939E3">
              <w:lastRenderedPageBreak/>
              <w:t xml:space="preserve">1. </w:t>
            </w:r>
          </w:p>
        </w:tc>
        <w:tc>
          <w:tcPr>
            <w:tcW w:w="1842" w:type="dxa"/>
          </w:tcPr>
          <w:p w14:paraId="47E57CF6" w14:textId="77777777" w:rsidR="001C4D3E" w:rsidRPr="00C939E3" w:rsidRDefault="001C4D3E" w:rsidP="006237F0">
            <w:pPr>
              <w:pStyle w:val="naiskr"/>
              <w:spacing w:before="120" w:beforeAutospacing="0" w:after="0" w:afterAutospacing="0"/>
              <w:ind w:left="57" w:right="57"/>
            </w:pPr>
            <w:r w:rsidRPr="00C939E3">
              <w:t xml:space="preserve">Sabiedrības </w:t>
            </w:r>
            <w:proofErr w:type="spellStart"/>
            <w:r w:rsidRPr="00C939E3">
              <w:t>mērķgrupas</w:t>
            </w:r>
            <w:proofErr w:type="spellEnd"/>
            <w:r w:rsidRPr="00C939E3">
              <w:t>, kuras tiesiskais regulējums ietekmē vai varētu ietekmēt</w:t>
            </w:r>
          </w:p>
        </w:tc>
        <w:tc>
          <w:tcPr>
            <w:tcW w:w="7078" w:type="dxa"/>
          </w:tcPr>
          <w:p w14:paraId="49F7B56B" w14:textId="0044765C" w:rsidR="001C4D3E" w:rsidRPr="00C939E3" w:rsidRDefault="001C4D3E" w:rsidP="006237F0">
            <w:pPr>
              <w:pStyle w:val="naiskr"/>
              <w:spacing w:before="120" w:beforeAutospacing="0" w:after="0" w:afterAutospacing="0"/>
              <w:ind w:left="273" w:right="57"/>
              <w:jc w:val="both"/>
            </w:pPr>
            <w:bookmarkStart w:id="11" w:name="p21"/>
            <w:bookmarkEnd w:id="11"/>
            <w:r w:rsidRPr="00C939E3">
              <w:t>Tiesiskais regulējums</w:t>
            </w:r>
            <w:r w:rsidR="00EC2621" w:rsidRPr="00C939E3">
              <w:t xml:space="preserve"> ietekmē</w:t>
            </w:r>
            <w:r w:rsidRPr="00C939E3">
              <w:t xml:space="preserve"> Veselības ministriju</w:t>
            </w:r>
            <w:r w:rsidR="00615618" w:rsidRPr="00C939E3">
              <w:t>, ārstniecības personas, ārstniecības iestādes ārpus Rīgas un iedzīvotājus, kas dzīvo ārpus Rīgas.</w:t>
            </w:r>
            <w:r w:rsidR="004A1BD8" w:rsidRPr="00C939E3">
              <w:t xml:space="preserve"> </w:t>
            </w:r>
          </w:p>
        </w:tc>
      </w:tr>
      <w:tr w:rsidR="004A282E" w:rsidRPr="00C939E3" w14:paraId="649C8249" w14:textId="77777777" w:rsidTr="00901E21">
        <w:trPr>
          <w:trHeight w:val="523"/>
        </w:trPr>
        <w:tc>
          <w:tcPr>
            <w:tcW w:w="720" w:type="dxa"/>
          </w:tcPr>
          <w:p w14:paraId="3F69D69B" w14:textId="77777777" w:rsidR="001C4D3E" w:rsidRPr="00C939E3" w:rsidRDefault="001C4D3E" w:rsidP="006237F0">
            <w:pPr>
              <w:pStyle w:val="naiskr"/>
              <w:spacing w:before="120" w:beforeAutospacing="0" w:after="0" w:afterAutospacing="0"/>
              <w:ind w:left="57" w:right="57"/>
              <w:jc w:val="both"/>
            </w:pPr>
            <w:r w:rsidRPr="00C939E3">
              <w:t xml:space="preserve">2. </w:t>
            </w:r>
          </w:p>
        </w:tc>
        <w:tc>
          <w:tcPr>
            <w:tcW w:w="1842" w:type="dxa"/>
          </w:tcPr>
          <w:p w14:paraId="5A5ACE53" w14:textId="77777777" w:rsidR="001C4D3E" w:rsidRPr="00C939E3" w:rsidRDefault="001C4D3E" w:rsidP="006237F0">
            <w:pPr>
              <w:pStyle w:val="naiskr"/>
              <w:spacing w:before="120" w:beforeAutospacing="0" w:after="0" w:afterAutospacing="0"/>
              <w:ind w:left="57" w:right="57"/>
            </w:pPr>
            <w:r w:rsidRPr="00C939E3">
              <w:t>Tiesiskā regulējuma ietekme uz tautsaimniecību un administratīvo slogu</w:t>
            </w:r>
          </w:p>
        </w:tc>
        <w:tc>
          <w:tcPr>
            <w:tcW w:w="7078" w:type="dxa"/>
          </w:tcPr>
          <w:p w14:paraId="68AA3412" w14:textId="4A3A0C11" w:rsidR="001C4D3E" w:rsidRPr="00C939E3" w:rsidRDefault="001C4D3E" w:rsidP="006237F0">
            <w:pPr>
              <w:pStyle w:val="naiskr"/>
              <w:spacing w:before="120" w:beforeAutospacing="0" w:after="0" w:afterAutospacing="0"/>
              <w:ind w:left="273" w:right="57"/>
              <w:jc w:val="both"/>
            </w:pPr>
            <w:r w:rsidRPr="00C939E3">
              <w:t>Tiesiskā regulējuma ietvaros noteiktie pienākumi tiks īstenoti esošo finanšu un darbinieku kapacitātes ietvaros.</w:t>
            </w:r>
          </w:p>
        </w:tc>
      </w:tr>
      <w:tr w:rsidR="004A282E" w:rsidRPr="00C939E3" w14:paraId="3A0C2614" w14:textId="77777777" w:rsidTr="00901E21">
        <w:trPr>
          <w:trHeight w:val="523"/>
        </w:trPr>
        <w:tc>
          <w:tcPr>
            <w:tcW w:w="720" w:type="dxa"/>
          </w:tcPr>
          <w:p w14:paraId="633F0C00" w14:textId="77777777" w:rsidR="001C4D3E" w:rsidRPr="00C939E3" w:rsidRDefault="001C4D3E" w:rsidP="006237F0">
            <w:pPr>
              <w:pStyle w:val="naiskr"/>
              <w:spacing w:before="120" w:beforeAutospacing="0" w:after="0" w:afterAutospacing="0"/>
              <w:ind w:left="57" w:right="57"/>
              <w:jc w:val="both"/>
            </w:pPr>
            <w:r w:rsidRPr="00C939E3">
              <w:t xml:space="preserve">3. </w:t>
            </w:r>
          </w:p>
        </w:tc>
        <w:tc>
          <w:tcPr>
            <w:tcW w:w="1842" w:type="dxa"/>
          </w:tcPr>
          <w:p w14:paraId="04BC41E8" w14:textId="77777777" w:rsidR="001C4D3E" w:rsidRPr="00C939E3" w:rsidRDefault="001C4D3E" w:rsidP="006237F0">
            <w:pPr>
              <w:pStyle w:val="naiskr"/>
              <w:spacing w:before="120" w:beforeAutospacing="0" w:after="0" w:afterAutospacing="0"/>
              <w:ind w:left="57" w:right="57"/>
            </w:pPr>
            <w:r w:rsidRPr="00C939E3">
              <w:t>Administratīvo izmaksu monetārs novērtējums</w:t>
            </w:r>
          </w:p>
        </w:tc>
        <w:tc>
          <w:tcPr>
            <w:tcW w:w="7078" w:type="dxa"/>
          </w:tcPr>
          <w:p w14:paraId="453915F5" w14:textId="42FA7AF4" w:rsidR="001C4D3E" w:rsidRPr="00C939E3" w:rsidRDefault="00BF2066" w:rsidP="006237F0">
            <w:pPr>
              <w:pStyle w:val="naiskr"/>
              <w:spacing w:before="120" w:beforeAutospacing="0" w:after="0" w:afterAutospacing="0"/>
              <w:ind w:left="57" w:right="57" w:firstLine="284"/>
              <w:jc w:val="both"/>
            </w:pPr>
            <w:r w:rsidRPr="00C939E3">
              <w:rPr>
                <w:szCs w:val="28"/>
              </w:rPr>
              <w:t>N</w:t>
            </w:r>
            <w:r w:rsidR="001C4D3E" w:rsidRPr="00C939E3">
              <w:rPr>
                <w:szCs w:val="28"/>
              </w:rPr>
              <w:t>oteikumu</w:t>
            </w:r>
            <w:r w:rsidR="001C4D3E" w:rsidRPr="00C939E3">
              <w:t xml:space="preserve"> projekts šo jomu neskar.</w:t>
            </w:r>
          </w:p>
        </w:tc>
      </w:tr>
      <w:tr w:rsidR="004A282E" w:rsidRPr="00C939E3" w14:paraId="42B2D31C" w14:textId="77777777" w:rsidTr="00901E21">
        <w:trPr>
          <w:trHeight w:val="357"/>
        </w:trPr>
        <w:tc>
          <w:tcPr>
            <w:tcW w:w="720" w:type="dxa"/>
          </w:tcPr>
          <w:p w14:paraId="7F1DB171" w14:textId="77777777" w:rsidR="001C4D3E" w:rsidRPr="00C939E3" w:rsidRDefault="001C4D3E" w:rsidP="006237F0">
            <w:pPr>
              <w:pStyle w:val="naiskr"/>
              <w:spacing w:before="120" w:beforeAutospacing="0" w:after="0" w:afterAutospacing="0"/>
              <w:ind w:left="57" w:right="57"/>
              <w:jc w:val="both"/>
            </w:pPr>
            <w:r w:rsidRPr="00C939E3">
              <w:t xml:space="preserve">4. </w:t>
            </w:r>
          </w:p>
        </w:tc>
        <w:tc>
          <w:tcPr>
            <w:tcW w:w="1842" w:type="dxa"/>
          </w:tcPr>
          <w:p w14:paraId="312D36A2" w14:textId="6B4FEFFA" w:rsidR="001C4D3E" w:rsidRPr="00C939E3" w:rsidRDefault="00EC2621" w:rsidP="006237F0">
            <w:pPr>
              <w:pStyle w:val="naiskr"/>
              <w:spacing w:before="120" w:beforeAutospacing="0" w:after="0" w:afterAutospacing="0"/>
              <w:ind w:left="57" w:right="57"/>
            </w:pPr>
            <w:r w:rsidRPr="00C939E3">
              <w:t>Atbilstības izmaksu monetārs novērtējums</w:t>
            </w:r>
          </w:p>
        </w:tc>
        <w:tc>
          <w:tcPr>
            <w:tcW w:w="7078" w:type="dxa"/>
          </w:tcPr>
          <w:p w14:paraId="2E95C4FC" w14:textId="1C3C425E" w:rsidR="001C4D3E" w:rsidRPr="00C939E3" w:rsidRDefault="00BF2066" w:rsidP="006237F0">
            <w:pPr>
              <w:pStyle w:val="naiskr"/>
              <w:spacing w:before="120" w:beforeAutospacing="0" w:after="0" w:afterAutospacing="0"/>
              <w:ind w:left="57" w:right="57" w:firstLine="284"/>
              <w:jc w:val="both"/>
            </w:pPr>
            <w:r w:rsidRPr="00C939E3">
              <w:rPr>
                <w:szCs w:val="28"/>
              </w:rPr>
              <w:t>N</w:t>
            </w:r>
            <w:r w:rsidR="00EC2621" w:rsidRPr="00C939E3">
              <w:rPr>
                <w:szCs w:val="28"/>
              </w:rPr>
              <w:t>oteikumu</w:t>
            </w:r>
            <w:r w:rsidR="00EC2621" w:rsidRPr="00C939E3">
              <w:t xml:space="preserve"> projekts šo jomu neskar.</w:t>
            </w:r>
          </w:p>
        </w:tc>
      </w:tr>
      <w:tr w:rsidR="004A282E" w:rsidRPr="00C939E3" w14:paraId="090F94A9" w14:textId="77777777" w:rsidTr="00901E21">
        <w:trPr>
          <w:trHeight w:val="357"/>
        </w:trPr>
        <w:tc>
          <w:tcPr>
            <w:tcW w:w="720" w:type="dxa"/>
          </w:tcPr>
          <w:p w14:paraId="26A0C824" w14:textId="23F4BA9F" w:rsidR="00EC2621" w:rsidRPr="00C939E3" w:rsidRDefault="00EC2621" w:rsidP="006237F0">
            <w:pPr>
              <w:pStyle w:val="naiskr"/>
              <w:spacing w:before="120" w:beforeAutospacing="0" w:after="0" w:afterAutospacing="0"/>
              <w:ind w:left="57" w:right="57"/>
              <w:jc w:val="both"/>
            </w:pPr>
            <w:r w:rsidRPr="00C939E3">
              <w:t>5.</w:t>
            </w:r>
          </w:p>
        </w:tc>
        <w:tc>
          <w:tcPr>
            <w:tcW w:w="1842" w:type="dxa"/>
          </w:tcPr>
          <w:p w14:paraId="012ACCB2" w14:textId="2C57A5B1" w:rsidR="00EC2621" w:rsidRPr="00C939E3" w:rsidRDefault="00EC2621" w:rsidP="006237F0">
            <w:pPr>
              <w:pStyle w:val="naiskr"/>
              <w:spacing w:before="120" w:beforeAutospacing="0" w:after="0" w:afterAutospacing="0"/>
              <w:ind w:left="57" w:right="57"/>
            </w:pPr>
            <w:r w:rsidRPr="00C939E3">
              <w:t>Cita informācija</w:t>
            </w:r>
          </w:p>
        </w:tc>
        <w:tc>
          <w:tcPr>
            <w:tcW w:w="7078" w:type="dxa"/>
          </w:tcPr>
          <w:p w14:paraId="61FB844E" w14:textId="397C3498" w:rsidR="00EC2621" w:rsidRPr="00C939E3" w:rsidRDefault="00EC2621" w:rsidP="006237F0">
            <w:pPr>
              <w:pStyle w:val="naiskr"/>
              <w:spacing w:before="120" w:beforeAutospacing="0" w:after="0" w:afterAutospacing="0"/>
              <w:ind w:left="57" w:right="57" w:firstLine="284"/>
              <w:jc w:val="both"/>
              <w:rPr>
                <w:szCs w:val="28"/>
              </w:rPr>
            </w:pPr>
            <w:r w:rsidRPr="00C939E3">
              <w:rPr>
                <w:szCs w:val="28"/>
              </w:rPr>
              <w:t>Nav</w:t>
            </w:r>
            <w:r w:rsidRPr="00C939E3">
              <w:t>.</w:t>
            </w:r>
          </w:p>
        </w:tc>
      </w:tr>
    </w:tbl>
    <w:p w14:paraId="2C9D19E9" w14:textId="77777777" w:rsidR="0042622D" w:rsidRPr="00C939E3" w:rsidRDefault="0042622D" w:rsidP="006237F0">
      <w:pPr>
        <w:spacing w:before="120"/>
      </w:pPr>
    </w:p>
    <w:p w14:paraId="3F998C87" w14:textId="7390A51E" w:rsidR="00284C3F" w:rsidRPr="00C939E3" w:rsidRDefault="00284C3F" w:rsidP="006237F0">
      <w:pPr>
        <w:pStyle w:val="naisnod"/>
        <w:spacing w:before="120" w:beforeAutospacing="0" w:after="0" w:afterAutospacing="0"/>
        <w:ind w:left="57"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054"/>
        <w:gridCol w:w="867"/>
        <w:gridCol w:w="1054"/>
        <w:gridCol w:w="867"/>
        <w:gridCol w:w="1054"/>
        <w:gridCol w:w="2156"/>
      </w:tblGrid>
      <w:tr w:rsidR="00662ECF" w:rsidRPr="00676B4D" w14:paraId="452241B4" w14:textId="77777777" w:rsidTr="00662ECF">
        <w:trPr>
          <w:tblCellSpacing w:w="15" w:type="dxa"/>
        </w:trPr>
        <w:tc>
          <w:tcPr>
            <w:tcW w:w="4969" w:type="pct"/>
            <w:gridSpan w:val="8"/>
            <w:tcBorders>
              <w:top w:val="outset" w:sz="6" w:space="0" w:color="auto"/>
              <w:left w:val="outset" w:sz="6" w:space="0" w:color="auto"/>
              <w:bottom w:val="outset" w:sz="6" w:space="0" w:color="auto"/>
              <w:right w:val="outset" w:sz="6" w:space="0" w:color="auto"/>
            </w:tcBorders>
            <w:vAlign w:val="center"/>
            <w:hideMark/>
          </w:tcPr>
          <w:p w14:paraId="545E6A56" w14:textId="77777777" w:rsidR="00662ECF" w:rsidRPr="00676B4D" w:rsidRDefault="00662ECF" w:rsidP="006237F0">
            <w:pPr>
              <w:spacing w:before="120"/>
              <w:jc w:val="center"/>
              <w:rPr>
                <w:b/>
                <w:bCs/>
                <w:iCs/>
                <w:lang w:eastAsia="lv-LV"/>
              </w:rPr>
            </w:pPr>
            <w:r w:rsidRPr="00676B4D">
              <w:rPr>
                <w:b/>
                <w:bCs/>
                <w:iCs/>
                <w:lang w:eastAsia="lv-LV"/>
              </w:rPr>
              <w:t>III. Tiesību akta projekta ietekme uz valsts budžetu un pašvaldību budžetiem</w:t>
            </w:r>
          </w:p>
        </w:tc>
      </w:tr>
      <w:tr w:rsidR="00662ECF" w:rsidRPr="00676B4D" w14:paraId="25C8B3D6" w14:textId="77777777" w:rsidTr="00662ECF">
        <w:trPr>
          <w:tblCellSpacing w:w="15" w:type="dxa"/>
        </w:trPr>
        <w:tc>
          <w:tcPr>
            <w:tcW w:w="842" w:type="pct"/>
            <w:vMerge w:val="restart"/>
            <w:tcBorders>
              <w:top w:val="outset" w:sz="6" w:space="0" w:color="auto"/>
              <w:left w:val="outset" w:sz="6" w:space="0" w:color="auto"/>
              <w:bottom w:val="outset" w:sz="6" w:space="0" w:color="auto"/>
              <w:right w:val="outset" w:sz="6" w:space="0" w:color="auto"/>
            </w:tcBorders>
            <w:vAlign w:val="center"/>
            <w:hideMark/>
          </w:tcPr>
          <w:p w14:paraId="4E3F75C6" w14:textId="77777777" w:rsidR="00662ECF" w:rsidRPr="00676B4D" w:rsidRDefault="00662ECF" w:rsidP="006237F0">
            <w:pPr>
              <w:spacing w:before="120"/>
              <w:rPr>
                <w:iCs/>
                <w:lang w:eastAsia="lv-LV"/>
              </w:rPr>
            </w:pPr>
            <w:r w:rsidRPr="00676B4D">
              <w:rPr>
                <w:iCs/>
                <w:lang w:eastAsia="lv-LV"/>
              </w:rPr>
              <w:t>Rādītāji</w:t>
            </w:r>
          </w:p>
        </w:tc>
        <w:tc>
          <w:tcPr>
            <w:tcW w:w="1029"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3960F88" w14:textId="77777777" w:rsidR="00662ECF" w:rsidRPr="00676B4D" w:rsidRDefault="00662ECF" w:rsidP="006237F0">
            <w:pPr>
              <w:spacing w:before="120"/>
              <w:jc w:val="center"/>
              <w:rPr>
                <w:iCs/>
                <w:lang w:eastAsia="lv-LV"/>
              </w:rPr>
            </w:pPr>
            <w:r w:rsidRPr="00676B4D">
              <w:rPr>
                <w:iCs/>
                <w:lang w:eastAsia="lv-LV"/>
              </w:rPr>
              <w:t>202</w:t>
            </w:r>
            <w:r>
              <w:rPr>
                <w:iCs/>
                <w:lang w:eastAsia="lv-LV"/>
              </w:rPr>
              <w:t>1</w:t>
            </w:r>
            <w:r w:rsidRPr="00676B4D">
              <w:rPr>
                <w:iCs/>
                <w:lang w:eastAsia="lv-LV"/>
              </w:rPr>
              <w:t>.gads</w:t>
            </w:r>
          </w:p>
        </w:tc>
        <w:tc>
          <w:tcPr>
            <w:tcW w:w="3066" w:type="pct"/>
            <w:gridSpan w:val="5"/>
            <w:tcBorders>
              <w:top w:val="outset" w:sz="6" w:space="0" w:color="auto"/>
              <w:left w:val="outset" w:sz="6" w:space="0" w:color="auto"/>
              <w:bottom w:val="outset" w:sz="6" w:space="0" w:color="auto"/>
              <w:right w:val="outset" w:sz="6" w:space="0" w:color="auto"/>
            </w:tcBorders>
            <w:vAlign w:val="center"/>
            <w:hideMark/>
          </w:tcPr>
          <w:p w14:paraId="5EDED61B" w14:textId="77777777" w:rsidR="00662ECF" w:rsidRPr="00676B4D" w:rsidRDefault="00662ECF" w:rsidP="006237F0">
            <w:pPr>
              <w:spacing w:before="120"/>
              <w:jc w:val="center"/>
              <w:rPr>
                <w:iCs/>
                <w:lang w:eastAsia="lv-LV"/>
              </w:rPr>
            </w:pPr>
            <w:r w:rsidRPr="00676B4D">
              <w:rPr>
                <w:iCs/>
                <w:lang w:eastAsia="lv-LV"/>
              </w:rPr>
              <w:t>Turpmākie trīs gadi (</w:t>
            </w:r>
            <w:proofErr w:type="spellStart"/>
            <w:r w:rsidRPr="00676B4D">
              <w:rPr>
                <w:i/>
                <w:iCs/>
                <w:lang w:eastAsia="lv-LV"/>
              </w:rPr>
              <w:t>euro</w:t>
            </w:r>
            <w:proofErr w:type="spellEnd"/>
            <w:r w:rsidRPr="00676B4D">
              <w:rPr>
                <w:iCs/>
                <w:lang w:eastAsia="lv-LV"/>
              </w:rPr>
              <w:t>)</w:t>
            </w:r>
          </w:p>
        </w:tc>
      </w:tr>
      <w:tr w:rsidR="00662ECF" w:rsidRPr="00676B4D" w14:paraId="082204D3" w14:textId="77777777" w:rsidTr="00662ECF">
        <w:trPr>
          <w:tblCellSpacing w:w="15" w:type="dxa"/>
        </w:trPr>
        <w:tc>
          <w:tcPr>
            <w:tcW w:w="842" w:type="pct"/>
            <w:vMerge/>
            <w:tcBorders>
              <w:top w:val="outset" w:sz="6" w:space="0" w:color="auto"/>
              <w:left w:val="outset" w:sz="6" w:space="0" w:color="auto"/>
              <w:bottom w:val="outset" w:sz="6" w:space="0" w:color="auto"/>
              <w:right w:val="outset" w:sz="6" w:space="0" w:color="auto"/>
            </w:tcBorders>
            <w:vAlign w:val="center"/>
            <w:hideMark/>
          </w:tcPr>
          <w:p w14:paraId="1FA7CD0B" w14:textId="77777777" w:rsidR="00662ECF" w:rsidRPr="00676B4D" w:rsidRDefault="00662ECF" w:rsidP="006237F0">
            <w:pPr>
              <w:spacing w:before="120"/>
              <w:rPr>
                <w:iCs/>
                <w:lang w:eastAsia="lv-LV"/>
              </w:rPr>
            </w:pPr>
          </w:p>
        </w:tc>
        <w:tc>
          <w:tcPr>
            <w:tcW w:w="1029" w:type="pct"/>
            <w:gridSpan w:val="2"/>
            <w:vMerge/>
            <w:tcBorders>
              <w:top w:val="outset" w:sz="6" w:space="0" w:color="auto"/>
              <w:left w:val="outset" w:sz="6" w:space="0" w:color="auto"/>
              <w:bottom w:val="outset" w:sz="6" w:space="0" w:color="auto"/>
              <w:right w:val="outset" w:sz="6" w:space="0" w:color="auto"/>
            </w:tcBorders>
            <w:vAlign w:val="center"/>
            <w:hideMark/>
          </w:tcPr>
          <w:p w14:paraId="0371F099" w14:textId="77777777" w:rsidR="00662ECF" w:rsidRPr="00676B4D" w:rsidRDefault="00662ECF" w:rsidP="006237F0">
            <w:pPr>
              <w:spacing w:before="120"/>
              <w:rPr>
                <w:iCs/>
                <w:lang w:eastAsia="lv-LV"/>
              </w:rPr>
            </w:pPr>
          </w:p>
        </w:tc>
        <w:tc>
          <w:tcPr>
            <w:tcW w:w="981" w:type="pct"/>
            <w:gridSpan w:val="2"/>
            <w:tcBorders>
              <w:top w:val="outset" w:sz="6" w:space="0" w:color="auto"/>
              <w:left w:val="outset" w:sz="6" w:space="0" w:color="auto"/>
              <w:bottom w:val="outset" w:sz="6" w:space="0" w:color="auto"/>
              <w:right w:val="outset" w:sz="6" w:space="0" w:color="auto"/>
            </w:tcBorders>
            <w:vAlign w:val="center"/>
            <w:hideMark/>
          </w:tcPr>
          <w:p w14:paraId="4527C9A4" w14:textId="77777777" w:rsidR="00662ECF" w:rsidRPr="00676B4D" w:rsidRDefault="00662ECF" w:rsidP="006237F0">
            <w:pPr>
              <w:spacing w:before="120"/>
              <w:jc w:val="center"/>
              <w:rPr>
                <w:iCs/>
                <w:lang w:eastAsia="lv-LV"/>
              </w:rPr>
            </w:pPr>
            <w:r w:rsidRPr="00676B4D">
              <w:rPr>
                <w:iCs/>
                <w:lang w:eastAsia="lv-LV"/>
              </w:rPr>
              <w:t>202</w:t>
            </w:r>
            <w:r>
              <w:rPr>
                <w:iCs/>
                <w:lang w:eastAsia="lv-LV"/>
              </w:rPr>
              <w:t>2</w:t>
            </w:r>
            <w:r w:rsidRPr="00676B4D">
              <w:rPr>
                <w:iCs/>
                <w:lang w:eastAsia="lv-LV"/>
              </w:rPr>
              <w:t>.gads</w:t>
            </w:r>
          </w:p>
        </w:tc>
        <w:tc>
          <w:tcPr>
            <w:tcW w:w="981" w:type="pct"/>
            <w:gridSpan w:val="2"/>
            <w:tcBorders>
              <w:top w:val="outset" w:sz="6" w:space="0" w:color="auto"/>
              <w:left w:val="outset" w:sz="6" w:space="0" w:color="auto"/>
              <w:bottom w:val="outset" w:sz="6" w:space="0" w:color="auto"/>
              <w:right w:val="outset" w:sz="6" w:space="0" w:color="auto"/>
            </w:tcBorders>
            <w:vAlign w:val="center"/>
            <w:hideMark/>
          </w:tcPr>
          <w:p w14:paraId="226F6AED" w14:textId="77777777" w:rsidR="00662ECF" w:rsidRPr="00676B4D" w:rsidRDefault="00662ECF" w:rsidP="006237F0">
            <w:pPr>
              <w:spacing w:before="120"/>
              <w:jc w:val="center"/>
              <w:rPr>
                <w:iCs/>
                <w:lang w:eastAsia="lv-LV"/>
              </w:rPr>
            </w:pPr>
            <w:r w:rsidRPr="00676B4D">
              <w:rPr>
                <w:iCs/>
                <w:lang w:eastAsia="lv-LV"/>
              </w:rPr>
              <w:t>202</w:t>
            </w:r>
            <w:r>
              <w:rPr>
                <w:iCs/>
                <w:lang w:eastAsia="lv-LV"/>
              </w:rPr>
              <w:t>3</w:t>
            </w:r>
            <w:r w:rsidRPr="00676B4D">
              <w:rPr>
                <w:iCs/>
                <w:lang w:eastAsia="lv-LV"/>
              </w:rPr>
              <w:t>.gads</w:t>
            </w:r>
          </w:p>
        </w:tc>
        <w:tc>
          <w:tcPr>
            <w:tcW w:w="1074" w:type="pct"/>
            <w:tcBorders>
              <w:top w:val="outset" w:sz="6" w:space="0" w:color="auto"/>
              <w:left w:val="outset" w:sz="6" w:space="0" w:color="auto"/>
              <w:bottom w:val="outset" w:sz="6" w:space="0" w:color="auto"/>
              <w:right w:val="outset" w:sz="6" w:space="0" w:color="auto"/>
            </w:tcBorders>
            <w:vAlign w:val="center"/>
            <w:hideMark/>
          </w:tcPr>
          <w:p w14:paraId="2765D17A" w14:textId="77777777" w:rsidR="00662ECF" w:rsidRPr="00676B4D" w:rsidRDefault="00662ECF" w:rsidP="006237F0">
            <w:pPr>
              <w:spacing w:before="120"/>
              <w:jc w:val="center"/>
              <w:rPr>
                <w:iCs/>
                <w:lang w:eastAsia="lv-LV"/>
              </w:rPr>
            </w:pPr>
            <w:r w:rsidRPr="00676B4D">
              <w:rPr>
                <w:iCs/>
                <w:lang w:eastAsia="lv-LV"/>
              </w:rPr>
              <w:t>202</w:t>
            </w:r>
            <w:r>
              <w:rPr>
                <w:iCs/>
                <w:lang w:eastAsia="lv-LV"/>
              </w:rPr>
              <w:t>4</w:t>
            </w:r>
            <w:r w:rsidRPr="00676B4D">
              <w:rPr>
                <w:iCs/>
                <w:lang w:eastAsia="lv-LV"/>
              </w:rPr>
              <w:t>. gads</w:t>
            </w:r>
          </w:p>
        </w:tc>
      </w:tr>
      <w:tr w:rsidR="00662ECF" w:rsidRPr="00676B4D" w14:paraId="31C6DA17" w14:textId="77777777" w:rsidTr="00662ECF">
        <w:trPr>
          <w:tblCellSpacing w:w="15" w:type="dxa"/>
        </w:trPr>
        <w:tc>
          <w:tcPr>
            <w:tcW w:w="842" w:type="pct"/>
            <w:vMerge/>
            <w:tcBorders>
              <w:top w:val="outset" w:sz="6" w:space="0" w:color="auto"/>
              <w:left w:val="outset" w:sz="6" w:space="0" w:color="auto"/>
              <w:bottom w:val="outset" w:sz="6" w:space="0" w:color="auto"/>
              <w:right w:val="outset" w:sz="6" w:space="0" w:color="auto"/>
            </w:tcBorders>
            <w:vAlign w:val="center"/>
            <w:hideMark/>
          </w:tcPr>
          <w:p w14:paraId="1C1FBB6A" w14:textId="77777777" w:rsidR="00662ECF" w:rsidRPr="00676B4D" w:rsidRDefault="00662ECF" w:rsidP="006237F0">
            <w:pPr>
              <w:spacing w:before="120"/>
              <w:rPr>
                <w:iCs/>
                <w:lang w:eastAsia="lv-LV"/>
              </w:rPr>
            </w:pPr>
          </w:p>
        </w:tc>
        <w:tc>
          <w:tcPr>
            <w:tcW w:w="482" w:type="pct"/>
            <w:tcBorders>
              <w:top w:val="outset" w:sz="6" w:space="0" w:color="auto"/>
              <w:left w:val="outset" w:sz="6" w:space="0" w:color="auto"/>
              <w:bottom w:val="outset" w:sz="6" w:space="0" w:color="auto"/>
              <w:right w:val="outset" w:sz="6" w:space="0" w:color="auto"/>
            </w:tcBorders>
            <w:vAlign w:val="center"/>
            <w:hideMark/>
          </w:tcPr>
          <w:p w14:paraId="0865A428" w14:textId="77777777" w:rsidR="00662ECF" w:rsidRPr="00676B4D" w:rsidRDefault="00662ECF" w:rsidP="006237F0">
            <w:pPr>
              <w:spacing w:before="120"/>
              <w:jc w:val="center"/>
              <w:rPr>
                <w:iCs/>
                <w:lang w:eastAsia="lv-LV"/>
              </w:rPr>
            </w:pPr>
            <w:r w:rsidRPr="00676B4D">
              <w:rPr>
                <w:iCs/>
                <w:lang w:eastAsia="lv-LV"/>
              </w:rPr>
              <w:t>saskaņā ar valsts budžetu kārtējam gadam</w:t>
            </w:r>
          </w:p>
        </w:tc>
        <w:tc>
          <w:tcPr>
            <w:tcW w:w="531" w:type="pct"/>
            <w:tcBorders>
              <w:top w:val="outset" w:sz="6" w:space="0" w:color="auto"/>
              <w:left w:val="outset" w:sz="6" w:space="0" w:color="auto"/>
              <w:bottom w:val="outset" w:sz="6" w:space="0" w:color="auto"/>
              <w:right w:val="outset" w:sz="6" w:space="0" w:color="auto"/>
            </w:tcBorders>
            <w:vAlign w:val="center"/>
            <w:hideMark/>
          </w:tcPr>
          <w:p w14:paraId="3E57536B" w14:textId="77777777" w:rsidR="00662ECF" w:rsidRPr="00676B4D" w:rsidRDefault="00662ECF" w:rsidP="006237F0">
            <w:pPr>
              <w:spacing w:before="120"/>
              <w:jc w:val="center"/>
              <w:rPr>
                <w:iCs/>
                <w:lang w:eastAsia="lv-LV"/>
              </w:rPr>
            </w:pPr>
            <w:r w:rsidRPr="00676B4D">
              <w:rPr>
                <w:iCs/>
                <w:lang w:eastAsia="lv-LV"/>
              </w:rPr>
              <w:t>izmaiņas kārtējā gadā, salīdzinot ar valsts budžetu kārtējam gadam</w:t>
            </w:r>
          </w:p>
        </w:tc>
        <w:tc>
          <w:tcPr>
            <w:tcW w:w="434" w:type="pct"/>
            <w:tcBorders>
              <w:top w:val="outset" w:sz="6" w:space="0" w:color="auto"/>
              <w:left w:val="outset" w:sz="6" w:space="0" w:color="auto"/>
              <w:bottom w:val="outset" w:sz="6" w:space="0" w:color="auto"/>
              <w:right w:val="outset" w:sz="6" w:space="0" w:color="auto"/>
            </w:tcBorders>
            <w:vAlign w:val="center"/>
            <w:hideMark/>
          </w:tcPr>
          <w:p w14:paraId="37281540" w14:textId="77777777" w:rsidR="00662ECF" w:rsidRPr="00676B4D" w:rsidRDefault="00662ECF" w:rsidP="006237F0">
            <w:pPr>
              <w:spacing w:before="120"/>
              <w:jc w:val="center"/>
              <w:rPr>
                <w:iCs/>
                <w:lang w:eastAsia="lv-LV"/>
              </w:rPr>
            </w:pPr>
            <w:r>
              <w:rPr>
                <w:iCs/>
                <w:lang w:eastAsia="lv-LV"/>
              </w:rPr>
              <w:t>saskaņā ar vidēja termiņa budžeta ietvaru</w:t>
            </w:r>
          </w:p>
        </w:tc>
        <w:tc>
          <w:tcPr>
            <w:tcW w:w="531" w:type="pct"/>
            <w:tcBorders>
              <w:top w:val="outset" w:sz="6" w:space="0" w:color="auto"/>
              <w:left w:val="outset" w:sz="6" w:space="0" w:color="auto"/>
              <w:bottom w:val="outset" w:sz="6" w:space="0" w:color="auto"/>
              <w:right w:val="outset" w:sz="6" w:space="0" w:color="auto"/>
            </w:tcBorders>
            <w:vAlign w:val="center"/>
            <w:hideMark/>
          </w:tcPr>
          <w:p w14:paraId="17C408E0" w14:textId="77777777" w:rsidR="00662ECF" w:rsidRPr="00676B4D" w:rsidRDefault="00662ECF" w:rsidP="006237F0">
            <w:pPr>
              <w:spacing w:before="120"/>
              <w:jc w:val="center"/>
              <w:rPr>
                <w:iCs/>
                <w:lang w:eastAsia="lv-LV"/>
              </w:rPr>
            </w:pPr>
            <w:r>
              <w:rPr>
                <w:iCs/>
                <w:lang w:eastAsia="lv-LV"/>
              </w:rPr>
              <w:t>izmaiņas, salīdzinot ar vidēja termiņa budžeta ietvaru 2021. gadam</w:t>
            </w:r>
          </w:p>
        </w:tc>
        <w:tc>
          <w:tcPr>
            <w:tcW w:w="434" w:type="pct"/>
            <w:tcBorders>
              <w:top w:val="outset" w:sz="6" w:space="0" w:color="auto"/>
              <w:left w:val="outset" w:sz="6" w:space="0" w:color="auto"/>
              <w:bottom w:val="outset" w:sz="6" w:space="0" w:color="auto"/>
              <w:right w:val="outset" w:sz="6" w:space="0" w:color="auto"/>
            </w:tcBorders>
            <w:vAlign w:val="center"/>
            <w:hideMark/>
          </w:tcPr>
          <w:p w14:paraId="56953DEF" w14:textId="77777777" w:rsidR="00662ECF" w:rsidRPr="00676B4D" w:rsidRDefault="00662ECF" w:rsidP="006237F0">
            <w:pPr>
              <w:spacing w:before="120"/>
              <w:jc w:val="center"/>
              <w:rPr>
                <w:iCs/>
                <w:lang w:eastAsia="lv-LV"/>
              </w:rPr>
            </w:pPr>
            <w:r>
              <w:rPr>
                <w:iCs/>
                <w:lang w:eastAsia="lv-LV"/>
              </w:rPr>
              <w:t>saskaņā ar vidēja termiņa budžeta ietvaru</w:t>
            </w:r>
          </w:p>
        </w:tc>
        <w:tc>
          <w:tcPr>
            <w:tcW w:w="531" w:type="pct"/>
            <w:tcBorders>
              <w:top w:val="outset" w:sz="6" w:space="0" w:color="auto"/>
              <w:left w:val="outset" w:sz="6" w:space="0" w:color="auto"/>
              <w:bottom w:val="outset" w:sz="6" w:space="0" w:color="auto"/>
              <w:right w:val="outset" w:sz="6" w:space="0" w:color="auto"/>
            </w:tcBorders>
            <w:vAlign w:val="center"/>
            <w:hideMark/>
          </w:tcPr>
          <w:p w14:paraId="3675DB62" w14:textId="77777777" w:rsidR="00662ECF" w:rsidRPr="00676B4D" w:rsidRDefault="00662ECF" w:rsidP="006237F0">
            <w:pPr>
              <w:spacing w:before="120"/>
              <w:jc w:val="center"/>
              <w:rPr>
                <w:iCs/>
                <w:lang w:eastAsia="lv-LV"/>
              </w:rPr>
            </w:pPr>
            <w:r>
              <w:rPr>
                <w:iCs/>
                <w:lang w:eastAsia="lv-LV"/>
              </w:rPr>
              <w:t>izmaiņas, salīdzinot ar vidēja termiņa budžeta ietvaru 2023. gadam</w:t>
            </w:r>
          </w:p>
        </w:tc>
        <w:tc>
          <w:tcPr>
            <w:tcW w:w="1074" w:type="pct"/>
            <w:tcBorders>
              <w:top w:val="outset" w:sz="6" w:space="0" w:color="auto"/>
              <w:left w:val="outset" w:sz="6" w:space="0" w:color="auto"/>
              <w:bottom w:val="outset" w:sz="6" w:space="0" w:color="auto"/>
              <w:right w:val="outset" w:sz="6" w:space="0" w:color="auto"/>
            </w:tcBorders>
            <w:vAlign w:val="center"/>
            <w:hideMark/>
          </w:tcPr>
          <w:p w14:paraId="626E051B" w14:textId="77777777" w:rsidR="00662ECF" w:rsidRPr="00676B4D" w:rsidRDefault="00662ECF" w:rsidP="006237F0">
            <w:pPr>
              <w:spacing w:before="120"/>
              <w:jc w:val="center"/>
              <w:rPr>
                <w:iCs/>
                <w:lang w:eastAsia="lv-LV"/>
              </w:rPr>
            </w:pPr>
            <w:r>
              <w:rPr>
                <w:iCs/>
                <w:lang w:eastAsia="lv-LV"/>
              </w:rPr>
              <w:t>izmaiņas, salīdzinot ar vidēja termiņa budžeta ietvaru 2023.gadam</w:t>
            </w:r>
          </w:p>
        </w:tc>
      </w:tr>
      <w:tr w:rsidR="00662ECF" w:rsidRPr="00676B4D" w14:paraId="61E3B461"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vAlign w:val="center"/>
            <w:hideMark/>
          </w:tcPr>
          <w:p w14:paraId="34A972CE" w14:textId="77777777" w:rsidR="00662ECF" w:rsidRPr="00676B4D" w:rsidRDefault="00662ECF" w:rsidP="006237F0">
            <w:pPr>
              <w:spacing w:before="120"/>
              <w:jc w:val="center"/>
              <w:rPr>
                <w:iCs/>
                <w:lang w:eastAsia="lv-LV"/>
              </w:rPr>
            </w:pPr>
            <w:r w:rsidRPr="00676B4D">
              <w:rPr>
                <w:iCs/>
                <w:lang w:eastAsia="lv-LV"/>
              </w:rPr>
              <w:t>1</w:t>
            </w:r>
          </w:p>
        </w:tc>
        <w:tc>
          <w:tcPr>
            <w:tcW w:w="482" w:type="pct"/>
            <w:tcBorders>
              <w:top w:val="outset" w:sz="6" w:space="0" w:color="auto"/>
              <w:left w:val="outset" w:sz="6" w:space="0" w:color="auto"/>
              <w:bottom w:val="outset" w:sz="6" w:space="0" w:color="auto"/>
              <w:right w:val="outset" w:sz="6" w:space="0" w:color="auto"/>
            </w:tcBorders>
            <w:vAlign w:val="center"/>
            <w:hideMark/>
          </w:tcPr>
          <w:p w14:paraId="63A6297E" w14:textId="77777777" w:rsidR="00662ECF" w:rsidRPr="00676B4D" w:rsidRDefault="00662ECF" w:rsidP="006237F0">
            <w:pPr>
              <w:spacing w:before="120"/>
              <w:jc w:val="center"/>
              <w:rPr>
                <w:iCs/>
                <w:lang w:eastAsia="lv-LV"/>
              </w:rPr>
            </w:pPr>
            <w:r w:rsidRPr="00676B4D">
              <w:rPr>
                <w:iCs/>
                <w:lang w:eastAsia="lv-LV"/>
              </w:rPr>
              <w:t>2</w:t>
            </w:r>
          </w:p>
        </w:tc>
        <w:tc>
          <w:tcPr>
            <w:tcW w:w="531" w:type="pct"/>
            <w:tcBorders>
              <w:top w:val="outset" w:sz="6" w:space="0" w:color="auto"/>
              <w:left w:val="outset" w:sz="6" w:space="0" w:color="auto"/>
              <w:bottom w:val="outset" w:sz="6" w:space="0" w:color="auto"/>
              <w:right w:val="outset" w:sz="6" w:space="0" w:color="auto"/>
            </w:tcBorders>
            <w:vAlign w:val="center"/>
            <w:hideMark/>
          </w:tcPr>
          <w:p w14:paraId="7892ACBF" w14:textId="77777777" w:rsidR="00662ECF" w:rsidRPr="00676B4D" w:rsidRDefault="00662ECF" w:rsidP="006237F0">
            <w:pPr>
              <w:spacing w:before="120"/>
              <w:jc w:val="center"/>
              <w:rPr>
                <w:iCs/>
                <w:lang w:eastAsia="lv-LV"/>
              </w:rPr>
            </w:pPr>
            <w:r w:rsidRPr="00676B4D">
              <w:rPr>
                <w:iCs/>
                <w:lang w:eastAsia="lv-LV"/>
              </w:rPr>
              <w:t>3</w:t>
            </w:r>
          </w:p>
        </w:tc>
        <w:tc>
          <w:tcPr>
            <w:tcW w:w="434" w:type="pct"/>
            <w:tcBorders>
              <w:top w:val="outset" w:sz="6" w:space="0" w:color="auto"/>
              <w:left w:val="outset" w:sz="6" w:space="0" w:color="auto"/>
              <w:bottom w:val="outset" w:sz="6" w:space="0" w:color="auto"/>
              <w:right w:val="outset" w:sz="6" w:space="0" w:color="auto"/>
            </w:tcBorders>
            <w:vAlign w:val="center"/>
            <w:hideMark/>
          </w:tcPr>
          <w:p w14:paraId="2DFA23C2" w14:textId="77777777" w:rsidR="00662ECF" w:rsidRPr="00676B4D" w:rsidRDefault="00662ECF" w:rsidP="006237F0">
            <w:pPr>
              <w:spacing w:before="120"/>
              <w:jc w:val="center"/>
              <w:rPr>
                <w:iCs/>
                <w:lang w:eastAsia="lv-LV"/>
              </w:rPr>
            </w:pPr>
            <w:r w:rsidRPr="00676B4D">
              <w:rPr>
                <w:iCs/>
                <w:lang w:eastAsia="lv-LV"/>
              </w:rPr>
              <w:t>4</w:t>
            </w:r>
          </w:p>
        </w:tc>
        <w:tc>
          <w:tcPr>
            <w:tcW w:w="531" w:type="pct"/>
            <w:tcBorders>
              <w:top w:val="outset" w:sz="6" w:space="0" w:color="auto"/>
              <w:left w:val="outset" w:sz="6" w:space="0" w:color="auto"/>
              <w:bottom w:val="outset" w:sz="6" w:space="0" w:color="auto"/>
              <w:right w:val="outset" w:sz="6" w:space="0" w:color="auto"/>
            </w:tcBorders>
            <w:vAlign w:val="center"/>
            <w:hideMark/>
          </w:tcPr>
          <w:p w14:paraId="703A936E" w14:textId="77777777" w:rsidR="00662ECF" w:rsidRPr="00676B4D" w:rsidRDefault="00662ECF" w:rsidP="006237F0">
            <w:pPr>
              <w:spacing w:before="120"/>
              <w:jc w:val="center"/>
              <w:rPr>
                <w:iCs/>
                <w:lang w:eastAsia="lv-LV"/>
              </w:rPr>
            </w:pPr>
            <w:r w:rsidRPr="00676B4D">
              <w:rPr>
                <w:iCs/>
                <w:lang w:eastAsia="lv-LV"/>
              </w:rPr>
              <w:t>5</w:t>
            </w:r>
          </w:p>
        </w:tc>
        <w:tc>
          <w:tcPr>
            <w:tcW w:w="434" w:type="pct"/>
            <w:tcBorders>
              <w:top w:val="outset" w:sz="6" w:space="0" w:color="auto"/>
              <w:left w:val="outset" w:sz="6" w:space="0" w:color="auto"/>
              <w:bottom w:val="outset" w:sz="6" w:space="0" w:color="auto"/>
              <w:right w:val="outset" w:sz="6" w:space="0" w:color="auto"/>
            </w:tcBorders>
            <w:vAlign w:val="center"/>
            <w:hideMark/>
          </w:tcPr>
          <w:p w14:paraId="1236C785" w14:textId="77777777" w:rsidR="00662ECF" w:rsidRPr="00676B4D" w:rsidRDefault="00662ECF" w:rsidP="006237F0">
            <w:pPr>
              <w:spacing w:before="120"/>
              <w:jc w:val="center"/>
              <w:rPr>
                <w:iCs/>
                <w:lang w:eastAsia="lv-LV"/>
              </w:rPr>
            </w:pPr>
            <w:r w:rsidRPr="00676B4D">
              <w:rPr>
                <w:iCs/>
                <w:lang w:eastAsia="lv-LV"/>
              </w:rPr>
              <w:t>6</w:t>
            </w:r>
          </w:p>
        </w:tc>
        <w:tc>
          <w:tcPr>
            <w:tcW w:w="531" w:type="pct"/>
            <w:tcBorders>
              <w:top w:val="outset" w:sz="6" w:space="0" w:color="auto"/>
              <w:left w:val="outset" w:sz="6" w:space="0" w:color="auto"/>
              <w:bottom w:val="outset" w:sz="6" w:space="0" w:color="auto"/>
              <w:right w:val="outset" w:sz="6" w:space="0" w:color="auto"/>
            </w:tcBorders>
            <w:vAlign w:val="center"/>
            <w:hideMark/>
          </w:tcPr>
          <w:p w14:paraId="5A90E3CD" w14:textId="77777777" w:rsidR="00662ECF" w:rsidRPr="00676B4D" w:rsidRDefault="00662ECF" w:rsidP="006237F0">
            <w:pPr>
              <w:spacing w:before="120"/>
              <w:jc w:val="center"/>
              <w:rPr>
                <w:iCs/>
                <w:lang w:eastAsia="lv-LV"/>
              </w:rPr>
            </w:pPr>
            <w:r w:rsidRPr="00676B4D">
              <w:rPr>
                <w:iCs/>
                <w:lang w:eastAsia="lv-LV"/>
              </w:rPr>
              <w:t>7</w:t>
            </w:r>
          </w:p>
        </w:tc>
        <w:tc>
          <w:tcPr>
            <w:tcW w:w="1074" w:type="pct"/>
            <w:tcBorders>
              <w:top w:val="outset" w:sz="6" w:space="0" w:color="auto"/>
              <w:left w:val="outset" w:sz="6" w:space="0" w:color="auto"/>
              <w:bottom w:val="outset" w:sz="6" w:space="0" w:color="auto"/>
              <w:right w:val="outset" w:sz="6" w:space="0" w:color="auto"/>
            </w:tcBorders>
            <w:vAlign w:val="center"/>
            <w:hideMark/>
          </w:tcPr>
          <w:p w14:paraId="038008F1" w14:textId="77777777" w:rsidR="00662ECF" w:rsidRPr="00676B4D" w:rsidRDefault="00662ECF" w:rsidP="006237F0">
            <w:pPr>
              <w:spacing w:before="120"/>
              <w:jc w:val="center"/>
              <w:rPr>
                <w:iCs/>
                <w:lang w:eastAsia="lv-LV"/>
              </w:rPr>
            </w:pPr>
            <w:r w:rsidRPr="00676B4D">
              <w:rPr>
                <w:iCs/>
                <w:lang w:eastAsia="lv-LV"/>
              </w:rPr>
              <w:t>8</w:t>
            </w:r>
          </w:p>
        </w:tc>
      </w:tr>
      <w:tr w:rsidR="00662ECF" w:rsidRPr="00676B4D" w14:paraId="43920FC6" w14:textId="77777777" w:rsidTr="00662ECF">
        <w:trPr>
          <w:trHeight w:val="643"/>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778BDB3B" w14:textId="77777777" w:rsidR="00662ECF" w:rsidRPr="00676B4D" w:rsidRDefault="00662ECF" w:rsidP="006237F0">
            <w:pPr>
              <w:spacing w:before="120"/>
              <w:rPr>
                <w:iCs/>
                <w:lang w:eastAsia="lv-LV"/>
              </w:rPr>
            </w:pPr>
            <w:r w:rsidRPr="00676B4D">
              <w:rPr>
                <w:iCs/>
                <w:lang w:eastAsia="lv-LV"/>
              </w:rPr>
              <w:t>1. Budžeta ieņēmumi</w:t>
            </w:r>
          </w:p>
        </w:tc>
        <w:tc>
          <w:tcPr>
            <w:tcW w:w="482" w:type="pct"/>
            <w:tcBorders>
              <w:top w:val="outset" w:sz="6" w:space="0" w:color="auto"/>
              <w:left w:val="outset" w:sz="6" w:space="0" w:color="auto"/>
              <w:bottom w:val="outset" w:sz="6" w:space="0" w:color="auto"/>
              <w:right w:val="outset" w:sz="6" w:space="0" w:color="auto"/>
            </w:tcBorders>
            <w:vAlign w:val="center"/>
          </w:tcPr>
          <w:p w14:paraId="4B665926" w14:textId="31FA62A7" w:rsidR="00662ECF" w:rsidRPr="00996F9C" w:rsidRDefault="00662ECF" w:rsidP="006237F0">
            <w:pPr>
              <w:spacing w:before="120"/>
              <w:jc w:val="right"/>
              <w:rPr>
                <w:iCs/>
                <w:lang w:eastAsia="lv-LV"/>
              </w:rPr>
            </w:pPr>
            <w:r w:rsidRPr="00996F9C">
              <w:rPr>
                <w:iCs/>
                <w:lang w:eastAsia="lv-LV"/>
              </w:rPr>
              <w:t>1 468 159</w:t>
            </w:r>
          </w:p>
        </w:tc>
        <w:tc>
          <w:tcPr>
            <w:tcW w:w="531" w:type="pct"/>
            <w:tcBorders>
              <w:top w:val="outset" w:sz="6" w:space="0" w:color="auto"/>
              <w:left w:val="outset" w:sz="6" w:space="0" w:color="auto"/>
              <w:bottom w:val="outset" w:sz="6" w:space="0" w:color="auto"/>
              <w:right w:val="outset" w:sz="6" w:space="0" w:color="auto"/>
            </w:tcBorders>
            <w:vAlign w:val="center"/>
          </w:tcPr>
          <w:p w14:paraId="3076E43E" w14:textId="49A9C637" w:rsidR="00662ECF" w:rsidRPr="00662ECF" w:rsidRDefault="00662ECF" w:rsidP="006237F0">
            <w:pPr>
              <w:spacing w:before="120"/>
              <w:jc w:val="right"/>
              <w:rPr>
                <w:iCs/>
                <w:lang w:eastAsia="lv-LV"/>
              </w:rPr>
            </w:pPr>
            <w:r w:rsidRPr="00996F9C">
              <w:rPr>
                <w:iCs/>
                <w:lang w:eastAsia="lv-LV"/>
              </w:rPr>
              <w:t>2 318 159</w:t>
            </w:r>
          </w:p>
        </w:tc>
        <w:tc>
          <w:tcPr>
            <w:tcW w:w="434" w:type="pct"/>
            <w:tcBorders>
              <w:top w:val="outset" w:sz="6" w:space="0" w:color="auto"/>
              <w:left w:val="outset" w:sz="6" w:space="0" w:color="auto"/>
              <w:bottom w:val="outset" w:sz="6" w:space="0" w:color="auto"/>
              <w:right w:val="outset" w:sz="6" w:space="0" w:color="auto"/>
            </w:tcBorders>
            <w:vAlign w:val="center"/>
          </w:tcPr>
          <w:p w14:paraId="5C1EE567" w14:textId="78B4B23D" w:rsidR="00662ECF" w:rsidRPr="00662ECF" w:rsidRDefault="00662ECF" w:rsidP="006237F0">
            <w:pPr>
              <w:spacing w:before="120"/>
              <w:jc w:val="right"/>
              <w:rPr>
                <w:iCs/>
                <w:lang w:eastAsia="lv-LV"/>
              </w:rPr>
            </w:pPr>
            <w:r w:rsidRPr="00996F9C">
              <w:rPr>
                <w:iCs/>
                <w:lang w:eastAsia="lv-LV"/>
              </w:rPr>
              <w:t>1 468 159</w:t>
            </w:r>
          </w:p>
        </w:tc>
        <w:tc>
          <w:tcPr>
            <w:tcW w:w="531" w:type="pct"/>
            <w:tcBorders>
              <w:top w:val="outset" w:sz="6" w:space="0" w:color="auto"/>
              <w:left w:val="outset" w:sz="6" w:space="0" w:color="auto"/>
              <w:bottom w:val="outset" w:sz="6" w:space="0" w:color="auto"/>
              <w:right w:val="outset" w:sz="6" w:space="0" w:color="auto"/>
            </w:tcBorders>
            <w:vAlign w:val="center"/>
          </w:tcPr>
          <w:p w14:paraId="28539A2E" w14:textId="32E50448" w:rsidR="00662ECF" w:rsidRPr="00662ECF" w:rsidRDefault="00662ECF" w:rsidP="006237F0">
            <w:pPr>
              <w:spacing w:before="120"/>
              <w:jc w:val="right"/>
              <w:rPr>
                <w:iCs/>
                <w:lang w:eastAsia="lv-LV"/>
              </w:rPr>
            </w:pPr>
            <w:r w:rsidRPr="00996F9C">
              <w:rPr>
                <w:iCs/>
                <w:lang w:eastAsia="lv-LV"/>
              </w:rPr>
              <w:t>2 318 159</w:t>
            </w:r>
          </w:p>
        </w:tc>
        <w:tc>
          <w:tcPr>
            <w:tcW w:w="434" w:type="pct"/>
            <w:tcBorders>
              <w:top w:val="outset" w:sz="6" w:space="0" w:color="auto"/>
              <w:left w:val="outset" w:sz="6" w:space="0" w:color="auto"/>
              <w:bottom w:val="outset" w:sz="6" w:space="0" w:color="auto"/>
              <w:right w:val="outset" w:sz="6" w:space="0" w:color="auto"/>
            </w:tcBorders>
            <w:vAlign w:val="center"/>
          </w:tcPr>
          <w:p w14:paraId="2A4E908F" w14:textId="76F0EF26" w:rsidR="00662ECF" w:rsidRPr="00662ECF" w:rsidRDefault="00662ECF" w:rsidP="006237F0">
            <w:pPr>
              <w:spacing w:before="120"/>
              <w:jc w:val="right"/>
              <w:rPr>
                <w:iCs/>
                <w:lang w:eastAsia="lv-LV"/>
              </w:rPr>
            </w:pPr>
            <w:r w:rsidRPr="00996F9C">
              <w:rPr>
                <w:iCs/>
                <w:lang w:eastAsia="lv-LV"/>
              </w:rPr>
              <w:t>920 939</w:t>
            </w:r>
          </w:p>
        </w:tc>
        <w:tc>
          <w:tcPr>
            <w:tcW w:w="531" w:type="pct"/>
            <w:tcBorders>
              <w:top w:val="outset" w:sz="6" w:space="0" w:color="auto"/>
              <w:left w:val="outset" w:sz="6" w:space="0" w:color="auto"/>
              <w:bottom w:val="outset" w:sz="6" w:space="0" w:color="auto"/>
              <w:right w:val="outset" w:sz="6" w:space="0" w:color="auto"/>
            </w:tcBorders>
            <w:vAlign w:val="center"/>
          </w:tcPr>
          <w:p w14:paraId="230C7A1E" w14:textId="4875B6FE" w:rsidR="00662ECF" w:rsidRPr="00662ECF" w:rsidRDefault="00662ECF" w:rsidP="006237F0">
            <w:pPr>
              <w:spacing w:before="120"/>
              <w:jc w:val="right"/>
              <w:rPr>
                <w:iCs/>
                <w:lang w:eastAsia="lv-LV"/>
              </w:rPr>
            </w:pPr>
            <w:r w:rsidRPr="00996F9C">
              <w:rPr>
                <w:iCs/>
                <w:lang w:eastAsia="lv-LV"/>
              </w:rPr>
              <w:t>920 939</w:t>
            </w:r>
          </w:p>
        </w:tc>
        <w:tc>
          <w:tcPr>
            <w:tcW w:w="1074" w:type="pct"/>
            <w:tcBorders>
              <w:top w:val="outset" w:sz="6" w:space="0" w:color="auto"/>
              <w:left w:val="outset" w:sz="6" w:space="0" w:color="auto"/>
              <w:bottom w:val="outset" w:sz="6" w:space="0" w:color="auto"/>
              <w:right w:val="outset" w:sz="6" w:space="0" w:color="auto"/>
            </w:tcBorders>
            <w:vAlign w:val="center"/>
          </w:tcPr>
          <w:p w14:paraId="30B5A545" w14:textId="21BFAA94" w:rsidR="00662ECF" w:rsidRPr="00662ECF" w:rsidRDefault="00662ECF" w:rsidP="006237F0">
            <w:pPr>
              <w:spacing w:before="120"/>
              <w:jc w:val="right"/>
              <w:rPr>
                <w:iCs/>
                <w:lang w:eastAsia="lv-LV"/>
              </w:rPr>
            </w:pPr>
            <w:r w:rsidRPr="00662ECF">
              <w:t>0</w:t>
            </w:r>
          </w:p>
        </w:tc>
      </w:tr>
      <w:tr w:rsidR="00662ECF" w:rsidRPr="0002405C" w14:paraId="15CB57E9" w14:textId="77777777" w:rsidTr="00662ECF">
        <w:trPr>
          <w:trHeight w:val="1467"/>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5573F240" w14:textId="77777777" w:rsidR="00662ECF" w:rsidRPr="00676B4D" w:rsidRDefault="00662ECF" w:rsidP="006237F0">
            <w:pPr>
              <w:spacing w:before="120"/>
              <w:rPr>
                <w:iCs/>
                <w:lang w:eastAsia="lv-LV"/>
              </w:rPr>
            </w:pPr>
            <w:r w:rsidRPr="00676B4D">
              <w:rPr>
                <w:iCs/>
                <w:lang w:eastAsia="lv-LV"/>
              </w:rPr>
              <w:t xml:space="preserve">1.1. valsts pamatbudžets, tai skaitā ieņēmumi no maksas </w:t>
            </w:r>
            <w:r w:rsidRPr="00676B4D">
              <w:rPr>
                <w:iCs/>
                <w:lang w:eastAsia="lv-LV"/>
              </w:rPr>
              <w:lastRenderedPageBreak/>
              <w:t>pakalpojumiem un citi pašu ieņēmumi</w:t>
            </w:r>
          </w:p>
        </w:tc>
        <w:tc>
          <w:tcPr>
            <w:tcW w:w="482" w:type="pct"/>
            <w:tcBorders>
              <w:top w:val="outset" w:sz="6" w:space="0" w:color="auto"/>
              <w:left w:val="outset" w:sz="6" w:space="0" w:color="auto"/>
              <w:bottom w:val="outset" w:sz="6" w:space="0" w:color="auto"/>
              <w:right w:val="outset" w:sz="6" w:space="0" w:color="auto"/>
            </w:tcBorders>
          </w:tcPr>
          <w:p w14:paraId="5C215A7D" w14:textId="77777777" w:rsidR="00662ECF" w:rsidRPr="007A5B39" w:rsidRDefault="00662ECF" w:rsidP="006237F0">
            <w:pPr>
              <w:spacing w:before="120"/>
              <w:jc w:val="right"/>
              <w:rPr>
                <w:iCs/>
                <w:lang w:eastAsia="lv-LV"/>
              </w:rPr>
            </w:pPr>
            <w:r w:rsidRPr="007A5B39">
              <w:rPr>
                <w:color w:val="000000"/>
              </w:rPr>
              <w:lastRenderedPageBreak/>
              <w:t>0</w:t>
            </w:r>
          </w:p>
        </w:tc>
        <w:tc>
          <w:tcPr>
            <w:tcW w:w="531" w:type="pct"/>
            <w:tcBorders>
              <w:top w:val="outset" w:sz="6" w:space="0" w:color="auto"/>
              <w:left w:val="outset" w:sz="6" w:space="0" w:color="auto"/>
              <w:bottom w:val="outset" w:sz="6" w:space="0" w:color="auto"/>
              <w:right w:val="outset" w:sz="6" w:space="0" w:color="auto"/>
            </w:tcBorders>
          </w:tcPr>
          <w:p w14:paraId="06995411"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433ABDCF"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3F90796D"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248F3286"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2492160C"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13649C42"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10CC321B"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34F84782" w14:textId="77777777" w:rsidR="00662ECF" w:rsidRPr="00676B4D" w:rsidRDefault="00662ECF" w:rsidP="006237F0">
            <w:pPr>
              <w:spacing w:before="120"/>
              <w:rPr>
                <w:iCs/>
                <w:lang w:eastAsia="lv-LV"/>
              </w:rPr>
            </w:pPr>
            <w:r w:rsidRPr="00676B4D">
              <w:rPr>
                <w:iCs/>
                <w:lang w:eastAsia="lv-LV"/>
              </w:rPr>
              <w:t>1.2. valsts speciālais budžets</w:t>
            </w:r>
          </w:p>
        </w:tc>
        <w:tc>
          <w:tcPr>
            <w:tcW w:w="482" w:type="pct"/>
            <w:tcBorders>
              <w:top w:val="outset" w:sz="6" w:space="0" w:color="auto"/>
              <w:left w:val="outset" w:sz="6" w:space="0" w:color="auto"/>
              <w:bottom w:val="outset" w:sz="6" w:space="0" w:color="auto"/>
              <w:right w:val="outset" w:sz="6" w:space="0" w:color="auto"/>
            </w:tcBorders>
          </w:tcPr>
          <w:p w14:paraId="33DC131B"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1CD5B439"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4D6FB823"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51F7F0DA"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2FDFC8BE"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3724E9EE"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1E2F1F30"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66D36296"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04AAFC18" w14:textId="77777777" w:rsidR="00662ECF" w:rsidRPr="00676B4D" w:rsidRDefault="00662ECF" w:rsidP="006237F0">
            <w:pPr>
              <w:spacing w:before="120"/>
              <w:rPr>
                <w:iCs/>
                <w:lang w:eastAsia="lv-LV"/>
              </w:rPr>
            </w:pPr>
            <w:r w:rsidRPr="00676B4D">
              <w:rPr>
                <w:iCs/>
                <w:lang w:eastAsia="lv-LV"/>
              </w:rPr>
              <w:t>1.3. pašvaldību budžets</w:t>
            </w:r>
          </w:p>
        </w:tc>
        <w:tc>
          <w:tcPr>
            <w:tcW w:w="482" w:type="pct"/>
            <w:tcBorders>
              <w:top w:val="outset" w:sz="6" w:space="0" w:color="auto"/>
              <w:left w:val="outset" w:sz="6" w:space="0" w:color="auto"/>
              <w:bottom w:val="outset" w:sz="6" w:space="0" w:color="auto"/>
              <w:right w:val="outset" w:sz="6" w:space="0" w:color="auto"/>
            </w:tcBorders>
          </w:tcPr>
          <w:p w14:paraId="2E95E6BB"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47C16EBF"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62C274EB"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590C4BEA"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47C9231A"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0A548726"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67D16317"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6E917F6F"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567A10A6" w14:textId="77777777" w:rsidR="00662ECF" w:rsidRPr="00676B4D" w:rsidRDefault="00662ECF" w:rsidP="006237F0">
            <w:pPr>
              <w:spacing w:before="120"/>
              <w:rPr>
                <w:iCs/>
                <w:lang w:eastAsia="lv-LV"/>
              </w:rPr>
            </w:pPr>
            <w:r w:rsidRPr="00676B4D">
              <w:rPr>
                <w:iCs/>
                <w:lang w:eastAsia="lv-LV"/>
              </w:rPr>
              <w:t>2. Budžeta izdevumi</w:t>
            </w:r>
          </w:p>
        </w:tc>
        <w:tc>
          <w:tcPr>
            <w:tcW w:w="482" w:type="pct"/>
            <w:tcBorders>
              <w:top w:val="outset" w:sz="6" w:space="0" w:color="auto"/>
              <w:left w:val="outset" w:sz="6" w:space="0" w:color="auto"/>
              <w:bottom w:val="outset" w:sz="6" w:space="0" w:color="auto"/>
              <w:right w:val="outset" w:sz="6" w:space="0" w:color="auto"/>
            </w:tcBorders>
            <w:vAlign w:val="center"/>
          </w:tcPr>
          <w:p w14:paraId="23DD8952" w14:textId="5C391311" w:rsidR="00662ECF" w:rsidRPr="00662ECF" w:rsidRDefault="00662ECF" w:rsidP="006237F0">
            <w:pPr>
              <w:spacing w:before="120"/>
              <w:jc w:val="right"/>
              <w:rPr>
                <w:iCs/>
                <w:lang w:eastAsia="lv-LV"/>
              </w:rPr>
            </w:pPr>
            <w:r w:rsidRPr="00662ECF">
              <w:t>1 727 246</w:t>
            </w:r>
          </w:p>
        </w:tc>
        <w:tc>
          <w:tcPr>
            <w:tcW w:w="531" w:type="pct"/>
            <w:tcBorders>
              <w:top w:val="outset" w:sz="6" w:space="0" w:color="auto"/>
              <w:left w:val="outset" w:sz="6" w:space="0" w:color="auto"/>
              <w:bottom w:val="outset" w:sz="6" w:space="0" w:color="auto"/>
              <w:right w:val="outset" w:sz="6" w:space="0" w:color="auto"/>
            </w:tcBorders>
            <w:vAlign w:val="center"/>
          </w:tcPr>
          <w:p w14:paraId="04E9E08A" w14:textId="7415E7CD" w:rsidR="00662ECF" w:rsidRPr="00662ECF" w:rsidRDefault="00662ECF" w:rsidP="006237F0">
            <w:pPr>
              <w:spacing w:before="120"/>
              <w:jc w:val="right"/>
              <w:rPr>
                <w:iCs/>
                <w:lang w:eastAsia="lv-LV"/>
              </w:rPr>
            </w:pPr>
            <w:r w:rsidRPr="00662ECF">
              <w:t>2 727 246</w:t>
            </w:r>
          </w:p>
        </w:tc>
        <w:tc>
          <w:tcPr>
            <w:tcW w:w="434" w:type="pct"/>
            <w:tcBorders>
              <w:top w:val="outset" w:sz="6" w:space="0" w:color="auto"/>
              <w:left w:val="outset" w:sz="6" w:space="0" w:color="auto"/>
              <w:bottom w:val="outset" w:sz="6" w:space="0" w:color="auto"/>
              <w:right w:val="outset" w:sz="6" w:space="0" w:color="auto"/>
            </w:tcBorders>
            <w:vAlign w:val="center"/>
          </w:tcPr>
          <w:p w14:paraId="1B57C821" w14:textId="1DFF7916" w:rsidR="00662ECF" w:rsidRPr="00662ECF" w:rsidRDefault="00662ECF" w:rsidP="006237F0">
            <w:pPr>
              <w:spacing w:before="120"/>
              <w:jc w:val="right"/>
              <w:rPr>
                <w:iCs/>
                <w:lang w:eastAsia="lv-LV"/>
              </w:rPr>
            </w:pPr>
            <w:r w:rsidRPr="00662ECF">
              <w:t>1 727 246</w:t>
            </w:r>
          </w:p>
        </w:tc>
        <w:tc>
          <w:tcPr>
            <w:tcW w:w="531" w:type="pct"/>
            <w:tcBorders>
              <w:top w:val="outset" w:sz="6" w:space="0" w:color="auto"/>
              <w:left w:val="outset" w:sz="6" w:space="0" w:color="auto"/>
              <w:bottom w:val="outset" w:sz="6" w:space="0" w:color="auto"/>
              <w:right w:val="outset" w:sz="6" w:space="0" w:color="auto"/>
            </w:tcBorders>
            <w:vAlign w:val="center"/>
          </w:tcPr>
          <w:p w14:paraId="11A56418" w14:textId="43BE6E38" w:rsidR="00662ECF" w:rsidRPr="00662ECF" w:rsidRDefault="00662ECF" w:rsidP="006237F0">
            <w:pPr>
              <w:spacing w:before="120"/>
              <w:jc w:val="right"/>
              <w:rPr>
                <w:iCs/>
                <w:lang w:eastAsia="lv-LV"/>
              </w:rPr>
            </w:pPr>
            <w:r w:rsidRPr="00662ECF">
              <w:t>2 727 246</w:t>
            </w:r>
          </w:p>
        </w:tc>
        <w:tc>
          <w:tcPr>
            <w:tcW w:w="434" w:type="pct"/>
            <w:tcBorders>
              <w:top w:val="outset" w:sz="6" w:space="0" w:color="auto"/>
              <w:left w:val="outset" w:sz="6" w:space="0" w:color="auto"/>
              <w:bottom w:val="outset" w:sz="6" w:space="0" w:color="auto"/>
              <w:right w:val="outset" w:sz="6" w:space="0" w:color="auto"/>
            </w:tcBorders>
            <w:vAlign w:val="center"/>
          </w:tcPr>
          <w:p w14:paraId="10FDB8D9" w14:textId="720788C3" w:rsidR="00662ECF" w:rsidRPr="00662ECF" w:rsidRDefault="00662ECF" w:rsidP="006237F0">
            <w:pPr>
              <w:spacing w:before="120"/>
              <w:jc w:val="right"/>
              <w:rPr>
                <w:iCs/>
                <w:lang w:eastAsia="lv-LV"/>
              </w:rPr>
            </w:pPr>
            <w:r w:rsidRPr="00662ECF">
              <w:t>1 083 458</w:t>
            </w:r>
          </w:p>
        </w:tc>
        <w:tc>
          <w:tcPr>
            <w:tcW w:w="531" w:type="pct"/>
            <w:tcBorders>
              <w:top w:val="outset" w:sz="6" w:space="0" w:color="auto"/>
              <w:left w:val="outset" w:sz="6" w:space="0" w:color="auto"/>
              <w:bottom w:val="outset" w:sz="6" w:space="0" w:color="auto"/>
              <w:right w:val="outset" w:sz="6" w:space="0" w:color="auto"/>
            </w:tcBorders>
            <w:vAlign w:val="center"/>
          </w:tcPr>
          <w:p w14:paraId="70A92549" w14:textId="4B278C05" w:rsidR="00662ECF" w:rsidRPr="00662ECF" w:rsidRDefault="00662ECF" w:rsidP="006237F0">
            <w:pPr>
              <w:spacing w:before="120"/>
              <w:jc w:val="right"/>
              <w:rPr>
                <w:iCs/>
                <w:lang w:eastAsia="lv-LV"/>
              </w:rPr>
            </w:pPr>
            <w:r w:rsidRPr="00662ECF">
              <w:t>1 083 458</w:t>
            </w:r>
          </w:p>
        </w:tc>
        <w:tc>
          <w:tcPr>
            <w:tcW w:w="1074" w:type="pct"/>
            <w:tcBorders>
              <w:top w:val="outset" w:sz="6" w:space="0" w:color="auto"/>
              <w:left w:val="outset" w:sz="6" w:space="0" w:color="auto"/>
              <w:bottom w:val="outset" w:sz="6" w:space="0" w:color="auto"/>
              <w:right w:val="outset" w:sz="6" w:space="0" w:color="auto"/>
            </w:tcBorders>
            <w:vAlign w:val="center"/>
          </w:tcPr>
          <w:p w14:paraId="24085429" w14:textId="1F1DFE36" w:rsidR="00662ECF" w:rsidRPr="00662ECF" w:rsidRDefault="00662ECF" w:rsidP="006237F0">
            <w:pPr>
              <w:spacing w:before="120"/>
              <w:jc w:val="right"/>
              <w:rPr>
                <w:iCs/>
                <w:lang w:eastAsia="lv-LV"/>
              </w:rPr>
            </w:pPr>
            <w:r w:rsidRPr="00662ECF">
              <w:t>0</w:t>
            </w:r>
          </w:p>
        </w:tc>
      </w:tr>
      <w:tr w:rsidR="00662ECF" w:rsidRPr="00676B4D" w14:paraId="0436FF7B"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5ED2BDA8" w14:textId="77777777" w:rsidR="00662ECF" w:rsidRPr="00676B4D" w:rsidRDefault="00662ECF" w:rsidP="006237F0">
            <w:pPr>
              <w:spacing w:before="120"/>
              <w:rPr>
                <w:iCs/>
                <w:lang w:eastAsia="lv-LV"/>
              </w:rPr>
            </w:pPr>
            <w:r w:rsidRPr="00676B4D">
              <w:rPr>
                <w:iCs/>
                <w:lang w:eastAsia="lv-LV"/>
              </w:rPr>
              <w:t>2.1. valsts pamatbudžets</w:t>
            </w:r>
          </w:p>
        </w:tc>
        <w:tc>
          <w:tcPr>
            <w:tcW w:w="482" w:type="pct"/>
            <w:tcBorders>
              <w:top w:val="outset" w:sz="6" w:space="0" w:color="auto"/>
              <w:left w:val="outset" w:sz="6" w:space="0" w:color="auto"/>
              <w:bottom w:val="outset" w:sz="6" w:space="0" w:color="auto"/>
              <w:right w:val="outset" w:sz="6" w:space="0" w:color="auto"/>
            </w:tcBorders>
          </w:tcPr>
          <w:p w14:paraId="55C2CB71"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2D03A018"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7F217DB9"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42E12D93"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539E348C"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7752B805"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3B6A9DDD"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55214ED7"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4CF3BD24" w14:textId="77777777" w:rsidR="00662ECF" w:rsidRPr="00676B4D" w:rsidRDefault="00662ECF" w:rsidP="006237F0">
            <w:pPr>
              <w:spacing w:before="120"/>
              <w:rPr>
                <w:iCs/>
                <w:lang w:eastAsia="lv-LV"/>
              </w:rPr>
            </w:pPr>
            <w:r w:rsidRPr="00676B4D">
              <w:rPr>
                <w:iCs/>
                <w:lang w:eastAsia="lv-LV"/>
              </w:rPr>
              <w:t>2.2. valsts speciālais budžets</w:t>
            </w:r>
          </w:p>
        </w:tc>
        <w:tc>
          <w:tcPr>
            <w:tcW w:w="482" w:type="pct"/>
            <w:tcBorders>
              <w:top w:val="outset" w:sz="6" w:space="0" w:color="auto"/>
              <w:left w:val="outset" w:sz="6" w:space="0" w:color="auto"/>
              <w:bottom w:val="outset" w:sz="6" w:space="0" w:color="auto"/>
              <w:right w:val="outset" w:sz="6" w:space="0" w:color="auto"/>
            </w:tcBorders>
          </w:tcPr>
          <w:p w14:paraId="3DABF568"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08F25CC5"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54DD97B4"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5411BFB0"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47F3A0F9"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687348B8"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29B9BA00"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3ADAE8DA"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79DA7AD3" w14:textId="77777777" w:rsidR="00662ECF" w:rsidRPr="00676B4D" w:rsidRDefault="00662ECF" w:rsidP="006237F0">
            <w:pPr>
              <w:spacing w:before="120"/>
              <w:rPr>
                <w:iCs/>
                <w:lang w:eastAsia="lv-LV"/>
              </w:rPr>
            </w:pPr>
            <w:r w:rsidRPr="00676B4D">
              <w:rPr>
                <w:iCs/>
                <w:lang w:eastAsia="lv-LV"/>
              </w:rPr>
              <w:t>2.3. pašvaldību budžets</w:t>
            </w:r>
          </w:p>
        </w:tc>
        <w:tc>
          <w:tcPr>
            <w:tcW w:w="482" w:type="pct"/>
            <w:tcBorders>
              <w:top w:val="outset" w:sz="6" w:space="0" w:color="auto"/>
              <w:left w:val="outset" w:sz="6" w:space="0" w:color="auto"/>
              <w:bottom w:val="outset" w:sz="6" w:space="0" w:color="auto"/>
              <w:right w:val="outset" w:sz="6" w:space="0" w:color="auto"/>
            </w:tcBorders>
          </w:tcPr>
          <w:p w14:paraId="4DA6DFFF"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15EC107B"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1C41062B"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05965E0A"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74A264DF"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1504A48B"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6E2920C4"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096D2DC9" w14:textId="77777777" w:rsidTr="00662ECF">
        <w:trPr>
          <w:trHeight w:val="842"/>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7B23D187" w14:textId="77777777" w:rsidR="00662ECF" w:rsidRPr="00676B4D" w:rsidRDefault="00662ECF" w:rsidP="006237F0">
            <w:pPr>
              <w:spacing w:before="120"/>
              <w:rPr>
                <w:iCs/>
                <w:lang w:eastAsia="lv-LV"/>
              </w:rPr>
            </w:pPr>
            <w:r w:rsidRPr="00676B4D">
              <w:rPr>
                <w:iCs/>
                <w:lang w:eastAsia="lv-LV"/>
              </w:rPr>
              <w:t>3. Finansiālā ietekme</w:t>
            </w:r>
          </w:p>
        </w:tc>
        <w:tc>
          <w:tcPr>
            <w:tcW w:w="482" w:type="pct"/>
            <w:tcBorders>
              <w:top w:val="outset" w:sz="6" w:space="0" w:color="auto"/>
              <w:left w:val="outset" w:sz="6" w:space="0" w:color="auto"/>
              <w:bottom w:val="outset" w:sz="6" w:space="0" w:color="auto"/>
              <w:right w:val="outset" w:sz="6" w:space="0" w:color="auto"/>
            </w:tcBorders>
            <w:vAlign w:val="center"/>
          </w:tcPr>
          <w:p w14:paraId="282A1C2F" w14:textId="77777777" w:rsidR="00662ECF" w:rsidRPr="007A5B39" w:rsidRDefault="00662ECF" w:rsidP="006237F0">
            <w:pPr>
              <w:spacing w:before="120"/>
              <w:jc w:val="right"/>
              <w:rPr>
                <w:iCs/>
                <w:lang w:eastAsia="lv-LV"/>
              </w:rPr>
            </w:pPr>
            <w:r w:rsidRPr="007A5B39">
              <w:rPr>
                <w:color w:val="000000"/>
              </w:rPr>
              <w:t>-318 954</w:t>
            </w:r>
          </w:p>
        </w:tc>
        <w:tc>
          <w:tcPr>
            <w:tcW w:w="531" w:type="pct"/>
            <w:tcBorders>
              <w:top w:val="outset" w:sz="6" w:space="0" w:color="auto"/>
              <w:left w:val="outset" w:sz="6" w:space="0" w:color="auto"/>
              <w:bottom w:val="outset" w:sz="6" w:space="0" w:color="auto"/>
              <w:right w:val="outset" w:sz="6" w:space="0" w:color="auto"/>
            </w:tcBorders>
            <w:vAlign w:val="center"/>
          </w:tcPr>
          <w:p w14:paraId="7287FF87"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vAlign w:val="center"/>
          </w:tcPr>
          <w:p w14:paraId="6662D0AE" w14:textId="77777777" w:rsidR="00662ECF" w:rsidRPr="007A5B39" w:rsidRDefault="00662ECF" w:rsidP="006237F0">
            <w:pPr>
              <w:spacing w:before="120"/>
              <w:jc w:val="right"/>
              <w:rPr>
                <w:iCs/>
                <w:lang w:eastAsia="lv-LV"/>
              </w:rPr>
            </w:pPr>
            <w:r w:rsidRPr="007A5B39">
              <w:rPr>
                <w:color w:val="000000"/>
              </w:rPr>
              <w:t>-27 982</w:t>
            </w:r>
          </w:p>
        </w:tc>
        <w:tc>
          <w:tcPr>
            <w:tcW w:w="531" w:type="pct"/>
            <w:tcBorders>
              <w:top w:val="outset" w:sz="6" w:space="0" w:color="auto"/>
              <w:left w:val="outset" w:sz="6" w:space="0" w:color="auto"/>
              <w:bottom w:val="outset" w:sz="6" w:space="0" w:color="auto"/>
              <w:right w:val="outset" w:sz="6" w:space="0" w:color="auto"/>
            </w:tcBorders>
            <w:vAlign w:val="center"/>
          </w:tcPr>
          <w:p w14:paraId="77ECA01D"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vAlign w:val="center"/>
          </w:tcPr>
          <w:p w14:paraId="4BC770DF" w14:textId="77777777" w:rsidR="00662ECF" w:rsidRPr="007A5B39" w:rsidRDefault="00662ECF" w:rsidP="006237F0">
            <w:pPr>
              <w:spacing w:before="120"/>
              <w:jc w:val="right"/>
              <w:rPr>
                <w:iCs/>
                <w:lang w:eastAsia="lv-LV"/>
              </w:rPr>
            </w:pPr>
            <w:r>
              <w:rPr>
                <w:iCs/>
                <w:lang w:eastAsia="lv-LV"/>
              </w:rPr>
              <w:t>-157 957</w:t>
            </w:r>
          </w:p>
        </w:tc>
        <w:tc>
          <w:tcPr>
            <w:tcW w:w="531" w:type="pct"/>
            <w:tcBorders>
              <w:top w:val="outset" w:sz="6" w:space="0" w:color="auto"/>
              <w:left w:val="outset" w:sz="6" w:space="0" w:color="auto"/>
              <w:bottom w:val="outset" w:sz="6" w:space="0" w:color="auto"/>
              <w:right w:val="outset" w:sz="6" w:space="0" w:color="auto"/>
            </w:tcBorders>
            <w:vAlign w:val="center"/>
          </w:tcPr>
          <w:p w14:paraId="3D41EA10"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vAlign w:val="center"/>
          </w:tcPr>
          <w:p w14:paraId="24BD337E" w14:textId="77777777" w:rsidR="00662ECF" w:rsidRPr="0002405C" w:rsidRDefault="00662ECF" w:rsidP="006237F0">
            <w:pPr>
              <w:pStyle w:val="ListParagraph"/>
              <w:spacing w:before="120"/>
              <w:ind w:left="756"/>
              <w:contextualSpacing w:val="0"/>
              <w:jc w:val="right"/>
              <w:rPr>
                <w:iCs/>
                <w:lang w:eastAsia="lv-LV"/>
              </w:rPr>
            </w:pPr>
            <w:r>
              <w:rPr>
                <w:iCs/>
                <w:lang w:eastAsia="lv-LV"/>
              </w:rPr>
              <w:t>0</w:t>
            </w:r>
          </w:p>
        </w:tc>
      </w:tr>
      <w:tr w:rsidR="00662ECF" w:rsidRPr="00676B4D" w14:paraId="7ED9C6E9" w14:textId="77777777" w:rsidTr="00662ECF">
        <w:trPr>
          <w:trHeight w:val="842"/>
          <w:tblCellSpacing w:w="15" w:type="dxa"/>
        </w:trPr>
        <w:tc>
          <w:tcPr>
            <w:tcW w:w="842" w:type="pct"/>
            <w:tcBorders>
              <w:top w:val="outset" w:sz="6" w:space="0" w:color="auto"/>
              <w:left w:val="outset" w:sz="6" w:space="0" w:color="auto"/>
              <w:bottom w:val="outset" w:sz="6" w:space="0" w:color="auto"/>
              <w:right w:val="outset" w:sz="6" w:space="0" w:color="auto"/>
            </w:tcBorders>
            <w:shd w:val="clear" w:color="auto" w:fill="auto"/>
            <w:hideMark/>
          </w:tcPr>
          <w:p w14:paraId="3C8236A9" w14:textId="77777777" w:rsidR="00662ECF" w:rsidRPr="00676B4D" w:rsidRDefault="00662ECF" w:rsidP="006237F0">
            <w:pPr>
              <w:spacing w:before="120"/>
              <w:rPr>
                <w:iCs/>
                <w:lang w:eastAsia="lv-LV"/>
              </w:rPr>
            </w:pPr>
            <w:r w:rsidRPr="00676B4D">
              <w:rPr>
                <w:iCs/>
                <w:lang w:eastAsia="lv-LV"/>
              </w:rPr>
              <w:t>3.1. valsts pamatbudžets</w:t>
            </w:r>
          </w:p>
        </w:tc>
        <w:tc>
          <w:tcPr>
            <w:tcW w:w="482" w:type="pct"/>
            <w:tcBorders>
              <w:top w:val="outset" w:sz="6" w:space="0" w:color="auto"/>
              <w:left w:val="outset" w:sz="6" w:space="0" w:color="auto"/>
              <w:bottom w:val="outset" w:sz="6" w:space="0" w:color="auto"/>
              <w:right w:val="outset" w:sz="6" w:space="0" w:color="auto"/>
            </w:tcBorders>
          </w:tcPr>
          <w:p w14:paraId="6A77C589"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0FE2184D"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6FCAFB4A"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5917445C"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6CA66EA3"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47EF4EA9"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42A99584"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19FAF504"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03B0D04F" w14:textId="77777777" w:rsidR="00662ECF" w:rsidRPr="00676B4D" w:rsidRDefault="00662ECF" w:rsidP="006237F0">
            <w:pPr>
              <w:spacing w:before="120"/>
              <w:rPr>
                <w:iCs/>
                <w:lang w:eastAsia="lv-LV"/>
              </w:rPr>
            </w:pPr>
            <w:r w:rsidRPr="00676B4D">
              <w:rPr>
                <w:iCs/>
                <w:lang w:eastAsia="lv-LV"/>
              </w:rPr>
              <w:t>3.2. speciālais budžets</w:t>
            </w:r>
          </w:p>
        </w:tc>
        <w:tc>
          <w:tcPr>
            <w:tcW w:w="482" w:type="pct"/>
            <w:tcBorders>
              <w:top w:val="outset" w:sz="6" w:space="0" w:color="auto"/>
              <w:left w:val="outset" w:sz="6" w:space="0" w:color="auto"/>
              <w:bottom w:val="outset" w:sz="6" w:space="0" w:color="auto"/>
              <w:right w:val="outset" w:sz="6" w:space="0" w:color="auto"/>
            </w:tcBorders>
          </w:tcPr>
          <w:p w14:paraId="31341D53"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3755BC97"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6F30B29C"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3A410EFF"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6CE91E15"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4633F67A"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5283810F"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44F9F2E0"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4B9668C1" w14:textId="77777777" w:rsidR="00662ECF" w:rsidRPr="00676B4D" w:rsidRDefault="00662ECF" w:rsidP="006237F0">
            <w:pPr>
              <w:spacing w:before="120"/>
              <w:rPr>
                <w:iCs/>
                <w:lang w:eastAsia="lv-LV"/>
              </w:rPr>
            </w:pPr>
            <w:r w:rsidRPr="00676B4D">
              <w:rPr>
                <w:iCs/>
                <w:lang w:eastAsia="lv-LV"/>
              </w:rPr>
              <w:t>3.3. pašvaldību budžets</w:t>
            </w:r>
          </w:p>
        </w:tc>
        <w:tc>
          <w:tcPr>
            <w:tcW w:w="482" w:type="pct"/>
            <w:tcBorders>
              <w:top w:val="outset" w:sz="6" w:space="0" w:color="auto"/>
              <w:left w:val="outset" w:sz="6" w:space="0" w:color="auto"/>
              <w:bottom w:val="outset" w:sz="6" w:space="0" w:color="auto"/>
              <w:right w:val="outset" w:sz="6" w:space="0" w:color="auto"/>
            </w:tcBorders>
          </w:tcPr>
          <w:p w14:paraId="643D86D5"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276A879A"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3CE0D9D7"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1911DE1B"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5D8272D8"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707CBBC8"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7C3CD666"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42AF9442"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43E763E6" w14:textId="77777777" w:rsidR="00662ECF" w:rsidRPr="00676B4D" w:rsidRDefault="00662ECF" w:rsidP="006237F0">
            <w:pPr>
              <w:spacing w:before="120"/>
              <w:rPr>
                <w:iCs/>
                <w:lang w:eastAsia="lv-LV"/>
              </w:rPr>
            </w:pPr>
            <w:r w:rsidRPr="00676B4D">
              <w:rPr>
                <w:iCs/>
                <w:lang w:eastAsia="lv-LV"/>
              </w:rPr>
              <w:t>4. Finanšu līdzekļi papildu izdevumu finansēšanai (kompensējošu izdevumu samazinājumu norāda ar "+" zīmi)</w:t>
            </w:r>
          </w:p>
        </w:tc>
        <w:tc>
          <w:tcPr>
            <w:tcW w:w="482" w:type="pct"/>
            <w:tcBorders>
              <w:top w:val="outset" w:sz="6" w:space="0" w:color="auto"/>
              <w:left w:val="outset" w:sz="6" w:space="0" w:color="auto"/>
              <w:bottom w:val="outset" w:sz="6" w:space="0" w:color="auto"/>
              <w:right w:val="outset" w:sz="6" w:space="0" w:color="auto"/>
            </w:tcBorders>
            <w:vAlign w:val="center"/>
          </w:tcPr>
          <w:p w14:paraId="1EF0574F"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055222A2"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3B07456B"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20FEE5ED" w14:textId="77777777" w:rsidR="00662ECF" w:rsidRPr="007A5B39" w:rsidRDefault="00662ECF" w:rsidP="006237F0">
            <w:pPr>
              <w:spacing w:before="120"/>
              <w:jc w:val="right"/>
              <w:rPr>
                <w:iCs/>
                <w:lang w:eastAsia="lv-LV"/>
              </w:rPr>
            </w:pPr>
            <w:r w:rsidRPr="007A5B39">
              <w:rPr>
                <w:color w:val="000000"/>
              </w:rPr>
              <w:t>0</w:t>
            </w:r>
          </w:p>
        </w:tc>
        <w:tc>
          <w:tcPr>
            <w:tcW w:w="434" w:type="pct"/>
            <w:tcBorders>
              <w:top w:val="outset" w:sz="6" w:space="0" w:color="auto"/>
              <w:left w:val="outset" w:sz="6" w:space="0" w:color="auto"/>
              <w:bottom w:val="outset" w:sz="6" w:space="0" w:color="auto"/>
              <w:right w:val="outset" w:sz="6" w:space="0" w:color="auto"/>
            </w:tcBorders>
          </w:tcPr>
          <w:p w14:paraId="6DC77695"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181D28E5"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31B688EC"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2289EBAB"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64D78F9A" w14:textId="77777777" w:rsidR="00662ECF" w:rsidRPr="00676B4D" w:rsidRDefault="00662ECF" w:rsidP="006237F0">
            <w:pPr>
              <w:spacing w:before="120"/>
              <w:rPr>
                <w:iCs/>
                <w:lang w:eastAsia="lv-LV"/>
              </w:rPr>
            </w:pPr>
            <w:r w:rsidRPr="00676B4D">
              <w:rPr>
                <w:iCs/>
                <w:lang w:eastAsia="lv-LV"/>
              </w:rPr>
              <w:lastRenderedPageBreak/>
              <w:t>5. Precizēta finansiālā ietekme</w:t>
            </w:r>
          </w:p>
        </w:tc>
        <w:tc>
          <w:tcPr>
            <w:tcW w:w="482" w:type="pct"/>
            <w:vMerge w:val="restart"/>
            <w:tcBorders>
              <w:top w:val="outset" w:sz="6" w:space="0" w:color="auto"/>
              <w:left w:val="outset" w:sz="6" w:space="0" w:color="auto"/>
              <w:bottom w:val="outset" w:sz="6" w:space="0" w:color="auto"/>
              <w:right w:val="outset" w:sz="6" w:space="0" w:color="auto"/>
            </w:tcBorders>
            <w:vAlign w:val="center"/>
          </w:tcPr>
          <w:p w14:paraId="3CACE8CD"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506BE2DA" w14:textId="77777777" w:rsidR="00662ECF" w:rsidRPr="007A5B39" w:rsidRDefault="00662ECF" w:rsidP="006237F0">
            <w:pPr>
              <w:spacing w:before="120"/>
              <w:jc w:val="right"/>
              <w:rPr>
                <w:iCs/>
                <w:lang w:eastAsia="lv-LV"/>
              </w:rPr>
            </w:pPr>
            <w:r w:rsidRPr="007A5B39">
              <w:rPr>
                <w:color w:val="000000"/>
              </w:rPr>
              <w:t>0</w:t>
            </w:r>
          </w:p>
        </w:tc>
        <w:tc>
          <w:tcPr>
            <w:tcW w:w="434" w:type="pct"/>
            <w:vMerge w:val="restart"/>
            <w:tcBorders>
              <w:top w:val="outset" w:sz="6" w:space="0" w:color="auto"/>
              <w:left w:val="outset" w:sz="6" w:space="0" w:color="auto"/>
              <w:bottom w:val="outset" w:sz="6" w:space="0" w:color="auto"/>
              <w:right w:val="outset" w:sz="6" w:space="0" w:color="auto"/>
            </w:tcBorders>
          </w:tcPr>
          <w:p w14:paraId="55EAB1FD"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27BB2D39" w14:textId="77777777" w:rsidR="00662ECF" w:rsidRPr="007A5B39" w:rsidRDefault="00662ECF" w:rsidP="006237F0">
            <w:pPr>
              <w:spacing w:before="120"/>
              <w:jc w:val="right"/>
              <w:rPr>
                <w:iCs/>
                <w:lang w:eastAsia="lv-LV"/>
              </w:rPr>
            </w:pPr>
            <w:r w:rsidRPr="007A5B39">
              <w:rPr>
                <w:color w:val="000000"/>
              </w:rPr>
              <w:t>0</w:t>
            </w:r>
          </w:p>
        </w:tc>
        <w:tc>
          <w:tcPr>
            <w:tcW w:w="434" w:type="pct"/>
            <w:vMerge w:val="restart"/>
            <w:tcBorders>
              <w:top w:val="outset" w:sz="6" w:space="0" w:color="auto"/>
              <w:left w:val="outset" w:sz="6" w:space="0" w:color="auto"/>
              <w:bottom w:val="outset" w:sz="6" w:space="0" w:color="auto"/>
              <w:right w:val="outset" w:sz="6" w:space="0" w:color="auto"/>
            </w:tcBorders>
          </w:tcPr>
          <w:p w14:paraId="52C2B647" w14:textId="77777777" w:rsidR="00662ECF" w:rsidRPr="007A5B39" w:rsidRDefault="00662ECF" w:rsidP="006237F0">
            <w:pPr>
              <w:spacing w:before="120"/>
              <w:jc w:val="right"/>
              <w:rPr>
                <w:iCs/>
                <w:lang w:eastAsia="lv-LV"/>
              </w:rPr>
            </w:pPr>
            <w:r w:rsidRPr="007A5B39">
              <w:rPr>
                <w:color w:val="000000"/>
              </w:rPr>
              <w:t>0</w:t>
            </w:r>
          </w:p>
        </w:tc>
        <w:tc>
          <w:tcPr>
            <w:tcW w:w="531" w:type="pct"/>
            <w:tcBorders>
              <w:top w:val="outset" w:sz="6" w:space="0" w:color="auto"/>
              <w:left w:val="outset" w:sz="6" w:space="0" w:color="auto"/>
              <w:bottom w:val="outset" w:sz="6" w:space="0" w:color="auto"/>
              <w:right w:val="outset" w:sz="6" w:space="0" w:color="auto"/>
            </w:tcBorders>
          </w:tcPr>
          <w:p w14:paraId="12D7A214"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75719C66"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59EF4ECE"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2022C748" w14:textId="77777777" w:rsidR="00662ECF" w:rsidRPr="00676B4D" w:rsidRDefault="00662ECF" w:rsidP="006237F0">
            <w:pPr>
              <w:spacing w:before="120"/>
              <w:rPr>
                <w:iCs/>
                <w:lang w:eastAsia="lv-LV"/>
              </w:rPr>
            </w:pPr>
            <w:r w:rsidRPr="00676B4D">
              <w:rPr>
                <w:iCs/>
                <w:lang w:eastAsia="lv-LV"/>
              </w:rPr>
              <w:t>5.1. valsts pamatbudžets</w:t>
            </w:r>
          </w:p>
        </w:tc>
        <w:tc>
          <w:tcPr>
            <w:tcW w:w="482" w:type="pct"/>
            <w:vMerge/>
            <w:tcBorders>
              <w:top w:val="outset" w:sz="6" w:space="0" w:color="auto"/>
              <w:left w:val="outset" w:sz="6" w:space="0" w:color="auto"/>
              <w:bottom w:val="outset" w:sz="6" w:space="0" w:color="auto"/>
              <w:right w:val="outset" w:sz="6" w:space="0" w:color="auto"/>
            </w:tcBorders>
            <w:vAlign w:val="center"/>
          </w:tcPr>
          <w:p w14:paraId="7143C58F"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4FFEE5D3" w14:textId="77777777" w:rsidR="00662ECF" w:rsidRPr="007A5B39" w:rsidRDefault="00662ECF" w:rsidP="006237F0">
            <w:pPr>
              <w:spacing w:before="120"/>
              <w:jc w:val="right"/>
              <w:rPr>
                <w:iCs/>
                <w:lang w:eastAsia="lv-LV"/>
              </w:rPr>
            </w:pPr>
            <w:r w:rsidRPr="007A5B39">
              <w:rPr>
                <w:color w:val="000000"/>
              </w:rPr>
              <w:t>0</w:t>
            </w:r>
          </w:p>
        </w:tc>
        <w:tc>
          <w:tcPr>
            <w:tcW w:w="434" w:type="pct"/>
            <w:vMerge/>
            <w:tcBorders>
              <w:top w:val="outset" w:sz="6" w:space="0" w:color="auto"/>
              <w:left w:val="outset" w:sz="6" w:space="0" w:color="auto"/>
              <w:bottom w:val="outset" w:sz="6" w:space="0" w:color="auto"/>
              <w:right w:val="outset" w:sz="6" w:space="0" w:color="auto"/>
            </w:tcBorders>
          </w:tcPr>
          <w:p w14:paraId="00C3B8A2"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6F8EBE52" w14:textId="77777777" w:rsidR="00662ECF" w:rsidRPr="007A5B39" w:rsidRDefault="00662ECF" w:rsidP="006237F0">
            <w:pPr>
              <w:spacing w:before="120"/>
              <w:jc w:val="right"/>
              <w:rPr>
                <w:iCs/>
                <w:lang w:eastAsia="lv-LV"/>
              </w:rPr>
            </w:pPr>
            <w:r w:rsidRPr="007A5B39">
              <w:rPr>
                <w:color w:val="000000"/>
              </w:rPr>
              <w:t>0</w:t>
            </w:r>
          </w:p>
        </w:tc>
        <w:tc>
          <w:tcPr>
            <w:tcW w:w="434" w:type="pct"/>
            <w:vMerge/>
            <w:tcBorders>
              <w:top w:val="outset" w:sz="6" w:space="0" w:color="auto"/>
              <w:left w:val="outset" w:sz="6" w:space="0" w:color="auto"/>
              <w:bottom w:val="outset" w:sz="6" w:space="0" w:color="auto"/>
              <w:right w:val="outset" w:sz="6" w:space="0" w:color="auto"/>
            </w:tcBorders>
          </w:tcPr>
          <w:p w14:paraId="522834B8"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6B7B4FA2"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74AADD0E"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1E053835"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4CAF2441" w14:textId="77777777" w:rsidR="00662ECF" w:rsidRPr="00676B4D" w:rsidRDefault="00662ECF" w:rsidP="006237F0">
            <w:pPr>
              <w:spacing w:before="120"/>
              <w:rPr>
                <w:iCs/>
                <w:lang w:eastAsia="lv-LV"/>
              </w:rPr>
            </w:pPr>
            <w:r w:rsidRPr="00676B4D">
              <w:rPr>
                <w:iCs/>
                <w:lang w:eastAsia="lv-LV"/>
              </w:rPr>
              <w:t>5.2. speciālais budžets</w:t>
            </w:r>
          </w:p>
        </w:tc>
        <w:tc>
          <w:tcPr>
            <w:tcW w:w="482" w:type="pct"/>
            <w:vMerge/>
            <w:tcBorders>
              <w:top w:val="outset" w:sz="6" w:space="0" w:color="auto"/>
              <w:left w:val="outset" w:sz="6" w:space="0" w:color="auto"/>
              <w:bottom w:val="outset" w:sz="6" w:space="0" w:color="auto"/>
              <w:right w:val="outset" w:sz="6" w:space="0" w:color="auto"/>
            </w:tcBorders>
            <w:vAlign w:val="center"/>
          </w:tcPr>
          <w:p w14:paraId="760EAF45"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2C66EC38" w14:textId="77777777" w:rsidR="00662ECF" w:rsidRPr="007A5B39" w:rsidRDefault="00662ECF" w:rsidP="006237F0">
            <w:pPr>
              <w:spacing w:before="120"/>
              <w:jc w:val="right"/>
              <w:rPr>
                <w:iCs/>
                <w:lang w:eastAsia="lv-LV"/>
              </w:rPr>
            </w:pPr>
            <w:r w:rsidRPr="007A5B39">
              <w:rPr>
                <w:color w:val="000000"/>
              </w:rPr>
              <w:t>0</w:t>
            </w:r>
          </w:p>
        </w:tc>
        <w:tc>
          <w:tcPr>
            <w:tcW w:w="434" w:type="pct"/>
            <w:vMerge/>
            <w:tcBorders>
              <w:top w:val="outset" w:sz="6" w:space="0" w:color="auto"/>
              <w:left w:val="outset" w:sz="6" w:space="0" w:color="auto"/>
              <w:bottom w:val="outset" w:sz="6" w:space="0" w:color="auto"/>
              <w:right w:val="outset" w:sz="6" w:space="0" w:color="auto"/>
            </w:tcBorders>
          </w:tcPr>
          <w:p w14:paraId="0380E774"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033C0F15" w14:textId="77777777" w:rsidR="00662ECF" w:rsidRPr="007A5B39" w:rsidRDefault="00662ECF" w:rsidP="006237F0">
            <w:pPr>
              <w:spacing w:before="120"/>
              <w:jc w:val="right"/>
              <w:rPr>
                <w:iCs/>
                <w:lang w:eastAsia="lv-LV"/>
              </w:rPr>
            </w:pPr>
            <w:r w:rsidRPr="007A5B39">
              <w:rPr>
                <w:color w:val="000000"/>
              </w:rPr>
              <w:t>0</w:t>
            </w:r>
          </w:p>
        </w:tc>
        <w:tc>
          <w:tcPr>
            <w:tcW w:w="434" w:type="pct"/>
            <w:vMerge/>
            <w:tcBorders>
              <w:top w:val="outset" w:sz="6" w:space="0" w:color="auto"/>
              <w:left w:val="outset" w:sz="6" w:space="0" w:color="auto"/>
              <w:bottom w:val="outset" w:sz="6" w:space="0" w:color="auto"/>
              <w:right w:val="outset" w:sz="6" w:space="0" w:color="auto"/>
            </w:tcBorders>
          </w:tcPr>
          <w:p w14:paraId="321B461D"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5B5D83D4"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2D973CD3"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5C76983B"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4949FCA8" w14:textId="77777777" w:rsidR="00662ECF" w:rsidRPr="00676B4D" w:rsidRDefault="00662ECF" w:rsidP="006237F0">
            <w:pPr>
              <w:spacing w:before="120"/>
              <w:rPr>
                <w:iCs/>
                <w:lang w:eastAsia="lv-LV"/>
              </w:rPr>
            </w:pPr>
            <w:r w:rsidRPr="00676B4D">
              <w:rPr>
                <w:iCs/>
                <w:lang w:eastAsia="lv-LV"/>
              </w:rPr>
              <w:t>5.3. pašvaldību budžets</w:t>
            </w:r>
          </w:p>
        </w:tc>
        <w:tc>
          <w:tcPr>
            <w:tcW w:w="482" w:type="pct"/>
            <w:vMerge/>
            <w:tcBorders>
              <w:top w:val="outset" w:sz="6" w:space="0" w:color="auto"/>
              <w:left w:val="outset" w:sz="6" w:space="0" w:color="auto"/>
              <w:bottom w:val="outset" w:sz="6" w:space="0" w:color="auto"/>
              <w:right w:val="outset" w:sz="6" w:space="0" w:color="auto"/>
            </w:tcBorders>
            <w:vAlign w:val="center"/>
          </w:tcPr>
          <w:p w14:paraId="366E83BC"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48C0A0CF" w14:textId="77777777" w:rsidR="00662ECF" w:rsidRPr="007A5B39" w:rsidRDefault="00662ECF" w:rsidP="006237F0">
            <w:pPr>
              <w:spacing w:before="120"/>
              <w:jc w:val="right"/>
              <w:rPr>
                <w:iCs/>
                <w:lang w:eastAsia="lv-LV"/>
              </w:rPr>
            </w:pPr>
            <w:r w:rsidRPr="007A5B39">
              <w:rPr>
                <w:color w:val="000000"/>
              </w:rPr>
              <w:t>0</w:t>
            </w:r>
          </w:p>
        </w:tc>
        <w:tc>
          <w:tcPr>
            <w:tcW w:w="434" w:type="pct"/>
            <w:vMerge/>
            <w:tcBorders>
              <w:top w:val="outset" w:sz="6" w:space="0" w:color="auto"/>
              <w:left w:val="outset" w:sz="6" w:space="0" w:color="auto"/>
              <w:bottom w:val="outset" w:sz="6" w:space="0" w:color="auto"/>
              <w:right w:val="outset" w:sz="6" w:space="0" w:color="auto"/>
            </w:tcBorders>
          </w:tcPr>
          <w:p w14:paraId="20E5F30D"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30AA0900" w14:textId="77777777" w:rsidR="00662ECF" w:rsidRPr="007A5B39" w:rsidRDefault="00662ECF" w:rsidP="006237F0">
            <w:pPr>
              <w:spacing w:before="120"/>
              <w:jc w:val="right"/>
              <w:rPr>
                <w:iCs/>
                <w:lang w:eastAsia="lv-LV"/>
              </w:rPr>
            </w:pPr>
            <w:r w:rsidRPr="007A5B39">
              <w:rPr>
                <w:color w:val="000000"/>
              </w:rPr>
              <w:t>0</w:t>
            </w:r>
          </w:p>
        </w:tc>
        <w:tc>
          <w:tcPr>
            <w:tcW w:w="434" w:type="pct"/>
            <w:vMerge/>
            <w:tcBorders>
              <w:top w:val="outset" w:sz="6" w:space="0" w:color="auto"/>
              <w:left w:val="outset" w:sz="6" w:space="0" w:color="auto"/>
              <w:bottom w:val="outset" w:sz="6" w:space="0" w:color="auto"/>
              <w:right w:val="outset" w:sz="6" w:space="0" w:color="auto"/>
            </w:tcBorders>
          </w:tcPr>
          <w:p w14:paraId="0627FF39" w14:textId="77777777" w:rsidR="00662ECF" w:rsidRPr="007A5B39" w:rsidRDefault="00662ECF" w:rsidP="006237F0">
            <w:pPr>
              <w:spacing w:before="120"/>
              <w:jc w:val="right"/>
              <w:rPr>
                <w:iCs/>
                <w:lang w:eastAsia="lv-LV"/>
              </w:rPr>
            </w:pPr>
          </w:p>
        </w:tc>
        <w:tc>
          <w:tcPr>
            <w:tcW w:w="531" w:type="pct"/>
            <w:tcBorders>
              <w:top w:val="outset" w:sz="6" w:space="0" w:color="auto"/>
              <w:left w:val="outset" w:sz="6" w:space="0" w:color="auto"/>
              <w:bottom w:val="outset" w:sz="6" w:space="0" w:color="auto"/>
              <w:right w:val="outset" w:sz="6" w:space="0" w:color="auto"/>
            </w:tcBorders>
          </w:tcPr>
          <w:p w14:paraId="4776E65A" w14:textId="77777777" w:rsidR="00662ECF" w:rsidRPr="007A5B39" w:rsidRDefault="00662ECF" w:rsidP="006237F0">
            <w:pPr>
              <w:spacing w:before="120"/>
              <w:jc w:val="right"/>
              <w:rPr>
                <w:iCs/>
                <w:lang w:eastAsia="lv-LV"/>
              </w:rPr>
            </w:pPr>
            <w:r w:rsidRPr="007A5B39">
              <w:rPr>
                <w:color w:val="000000"/>
              </w:rPr>
              <w:t>0</w:t>
            </w:r>
          </w:p>
        </w:tc>
        <w:tc>
          <w:tcPr>
            <w:tcW w:w="1074" w:type="pct"/>
            <w:tcBorders>
              <w:top w:val="outset" w:sz="6" w:space="0" w:color="auto"/>
              <w:left w:val="outset" w:sz="6" w:space="0" w:color="auto"/>
              <w:bottom w:val="outset" w:sz="6" w:space="0" w:color="auto"/>
              <w:right w:val="outset" w:sz="6" w:space="0" w:color="auto"/>
            </w:tcBorders>
          </w:tcPr>
          <w:p w14:paraId="376FF0D3" w14:textId="77777777" w:rsidR="00662ECF" w:rsidRPr="007A5B39" w:rsidRDefault="00662ECF" w:rsidP="006237F0">
            <w:pPr>
              <w:spacing w:before="120"/>
              <w:jc w:val="right"/>
              <w:rPr>
                <w:iCs/>
                <w:lang w:eastAsia="lv-LV"/>
              </w:rPr>
            </w:pPr>
            <w:r w:rsidRPr="007A5B39">
              <w:rPr>
                <w:color w:val="000000"/>
              </w:rPr>
              <w:t>0</w:t>
            </w:r>
          </w:p>
        </w:tc>
      </w:tr>
      <w:tr w:rsidR="00662ECF" w:rsidRPr="00676B4D" w14:paraId="5A614D6D"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4CBAF782" w14:textId="77777777" w:rsidR="00662ECF" w:rsidRPr="00D97B0E" w:rsidRDefault="00662ECF" w:rsidP="006237F0">
            <w:pPr>
              <w:spacing w:before="120"/>
              <w:rPr>
                <w:iCs/>
                <w:lang w:eastAsia="lv-LV"/>
              </w:rPr>
            </w:pPr>
            <w:r w:rsidRPr="00D97B0E">
              <w:rPr>
                <w:iCs/>
                <w:lang w:eastAsia="lv-LV"/>
              </w:rPr>
              <w:t>6. Detalizēts ieņēmumu un izdevumu aprēķins (ja nepieciešams, detalizētu ieņēmumu un izdevumu aprēķinu var pievienot anotācijas pielikumā)</w:t>
            </w:r>
          </w:p>
        </w:tc>
        <w:tc>
          <w:tcPr>
            <w:tcW w:w="4111" w:type="pct"/>
            <w:gridSpan w:val="7"/>
            <w:vMerge w:val="restart"/>
            <w:tcBorders>
              <w:top w:val="outset" w:sz="6" w:space="0" w:color="auto"/>
              <w:left w:val="outset" w:sz="6" w:space="0" w:color="auto"/>
              <w:bottom w:val="outset" w:sz="6" w:space="0" w:color="auto"/>
              <w:right w:val="outset" w:sz="6" w:space="0" w:color="auto"/>
            </w:tcBorders>
            <w:hideMark/>
          </w:tcPr>
          <w:p w14:paraId="3BB61B88" w14:textId="203AF347" w:rsidR="00662ECF" w:rsidRPr="00662ECF" w:rsidRDefault="00662ECF" w:rsidP="006237F0">
            <w:pPr>
              <w:pStyle w:val="tv213"/>
              <w:shd w:val="clear" w:color="auto" w:fill="FFFFFF"/>
              <w:spacing w:before="120" w:beforeAutospacing="0" w:after="0" w:afterAutospacing="0"/>
              <w:ind w:firstLine="203"/>
              <w:jc w:val="both"/>
              <w:rPr>
                <w:lang w:eastAsia="en-US"/>
              </w:rPr>
            </w:pPr>
            <w:r w:rsidRPr="00662ECF">
              <w:t>SAM 9.2.5.</w:t>
            </w:r>
            <w:r w:rsidRPr="00662ECF">
              <w:rPr>
                <w:color w:val="000000" w:themeColor="text1"/>
              </w:rPr>
              <w:t xml:space="preserve"> ietvaros pieejamais kopējais attiecināmais finansējums ir 11 960 103 </w:t>
            </w:r>
            <w:proofErr w:type="spellStart"/>
            <w:r w:rsidRPr="00662ECF">
              <w:rPr>
                <w:i/>
                <w:iCs/>
                <w:color w:val="000000" w:themeColor="text1"/>
              </w:rPr>
              <w:t>euro</w:t>
            </w:r>
            <w:proofErr w:type="spellEnd"/>
            <w:r w:rsidRPr="00662ECF">
              <w:rPr>
                <w:color w:val="000000" w:themeColor="text1"/>
              </w:rPr>
              <w:t>, tai skaitā Eiropas Sociālā fonda finansējums – 10 166 087 </w:t>
            </w:r>
            <w:proofErr w:type="spellStart"/>
            <w:r w:rsidRPr="00662ECF">
              <w:rPr>
                <w:i/>
                <w:iCs/>
                <w:color w:val="000000" w:themeColor="text1"/>
              </w:rPr>
              <w:t>euro</w:t>
            </w:r>
            <w:proofErr w:type="spellEnd"/>
            <w:r w:rsidRPr="00662ECF">
              <w:rPr>
                <w:color w:val="000000" w:themeColor="text1"/>
              </w:rPr>
              <w:t> un valsts budžeta finansējums 1 794 016 </w:t>
            </w:r>
            <w:proofErr w:type="spellStart"/>
            <w:r w:rsidRPr="00662ECF">
              <w:rPr>
                <w:i/>
                <w:iCs/>
                <w:color w:val="000000" w:themeColor="text1"/>
              </w:rPr>
              <w:t>euro</w:t>
            </w:r>
            <w:proofErr w:type="spellEnd"/>
            <w:r w:rsidRPr="00662ECF">
              <w:rPr>
                <w:color w:val="000000" w:themeColor="text1"/>
              </w:rPr>
              <w:t>.</w:t>
            </w:r>
          </w:p>
          <w:p w14:paraId="544AFA0F" w14:textId="44F7C182" w:rsidR="00662ECF" w:rsidRPr="00662ECF" w:rsidRDefault="00662ECF" w:rsidP="006237F0">
            <w:pPr>
              <w:pStyle w:val="tv213"/>
              <w:shd w:val="clear" w:color="auto" w:fill="FFFFFF"/>
              <w:spacing w:before="120" w:beforeAutospacing="0" w:after="0" w:afterAutospacing="0"/>
              <w:ind w:firstLine="203"/>
              <w:jc w:val="both"/>
              <w:rPr>
                <w:lang w:eastAsia="en-US"/>
              </w:rPr>
            </w:pPr>
            <w:r w:rsidRPr="00662ECF">
              <w:rPr>
                <w:color w:val="000000"/>
              </w:rPr>
              <w:t xml:space="preserve">2021. un 2022. gadā </w:t>
            </w:r>
            <w:r w:rsidRPr="00662ECF">
              <w:rPr>
                <w:lang w:eastAsia="en-US"/>
              </w:rPr>
              <w:t xml:space="preserve">paredzami budžeta ieņēmumi </w:t>
            </w:r>
            <w:r w:rsidRPr="00662ECF">
              <w:t xml:space="preserve">1 468 159 </w:t>
            </w:r>
            <w:proofErr w:type="spellStart"/>
            <w:r w:rsidRPr="00662ECF">
              <w:rPr>
                <w:i/>
                <w:iCs/>
                <w:lang w:eastAsia="en-US"/>
              </w:rPr>
              <w:t>euro</w:t>
            </w:r>
            <w:proofErr w:type="spellEnd"/>
            <w:r w:rsidRPr="00662ECF">
              <w:rPr>
                <w:lang w:eastAsia="en-US"/>
              </w:rPr>
              <w:t xml:space="preserve"> apmērā, savukārt 2023.gadā </w:t>
            </w:r>
            <w:r w:rsidRPr="00662ECF">
              <w:t>920 939</w:t>
            </w:r>
            <w:r w:rsidRPr="00662ECF">
              <w:rPr>
                <w:color w:val="000000"/>
              </w:rPr>
              <w:t xml:space="preserve"> </w:t>
            </w:r>
            <w:proofErr w:type="spellStart"/>
            <w:r w:rsidRPr="00662ECF">
              <w:rPr>
                <w:i/>
                <w:iCs/>
                <w:lang w:eastAsia="en-US"/>
              </w:rPr>
              <w:t>euro</w:t>
            </w:r>
            <w:proofErr w:type="spellEnd"/>
            <w:r w:rsidRPr="00662ECF">
              <w:rPr>
                <w:lang w:eastAsia="en-US"/>
              </w:rPr>
              <w:t xml:space="preserve"> apmērā. Visus iepriekš minētos budžeta ieņēmumus veido ESF finansējums. </w:t>
            </w:r>
            <w:r w:rsidRPr="00662ECF">
              <w:rPr>
                <w:color w:val="000000"/>
              </w:rPr>
              <w:t xml:space="preserve">2021. un 2022. gadā </w:t>
            </w:r>
            <w:r w:rsidRPr="00662ECF">
              <w:rPr>
                <w:lang w:eastAsia="en-US"/>
              </w:rPr>
              <w:t xml:space="preserve">paredzami budžeta izdevumi </w:t>
            </w:r>
            <w:r w:rsidRPr="00662ECF">
              <w:t xml:space="preserve">1 727 246 </w:t>
            </w:r>
            <w:proofErr w:type="spellStart"/>
            <w:r w:rsidRPr="00662ECF">
              <w:rPr>
                <w:i/>
                <w:iCs/>
              </w:rPr>
              <w:t>euro</w:t>
            </w:r>
            <w:proofErr w:type="spellEnd"/>
            <w:r w:rsidRPr="00662ECF">
              <w:t xml:space="preserve"> apmērā, savukārt 2023.gadā 1 083 458 </w:t>
            </w:r>
            <w:proofErr w:type="spellStart"/>
            <w:r w:rsidRPr="00662ECF">
              <w:rPr>
                <w:i/>
                <w:iCs/>
              </w:rPr>
              <w:t>euro</w:t>
            </w:r>
            <w:proofErr w:type="spellEnd"/>
            <w:r w:rsidRPr="00662ECF">
              <w:t xml:space="preserve"> apmērā.</w:t>
            </w:r>
          </w:p>
          <w:p w14:paraId="3FE7C2F5" w14:textId="39DD4EAE" w:rsidR="00662ECF" w:rsidRPr="00662ECF" w:rsidRDefault="00AE5351" w:rsidP="006237F0">
            <w:pPr>
              <w:pStyle w:val="tv213"/>
              <w:shd w:val="clear" w:color="auto" w:fill="FFFFFF"/>
              <w:spacing w:before="120" w:beforeAutospacing="0" w:after="0" w:afterAutospacing="0"/>
              <w:ind w:firstLine="203"/>
              <w:jc w:val="both"/>
              <w:rPr>
                <w:lang w:eastAsia="en-US"/>
              </w:rPr>
            </w:pPr>
            <w:r>
              <w:rPr>
                <w:lang w:eastAsia="en-US"/>
              </w:rPr>
              <w:t>Projektu īsteno Veselības ministrija un finansējums tiek plānots Veselības ministrijas valsts budžeta 63.07.00 programmā “</w:t>
            </w:r>
            <w:r w:rsidRPr="00AE5351">
              <w:rPr>
                <w:lang w:eastAsia="en-US"/>
              </w:rPr>
              <w:t>Eiropas Sociālā fonda (ESF) projektu īstenošana (2014-2020)</w:t>
            </w:r>
            <w:r>
              <w:rPr>
                <w:lang w:eastAsia="en-US"/>
              </w:rPr>
              <w:t>”</w:t>
            </w:r>
            <w:r w:rsidR="008014B6">
              <w:rPr>
                <w:lang w:eastAsia="en-US"/>
              </w:rPr>
              <w:t>.</w:t>
            </w:r>
          </w:p>
          <w:p w14:paraId="392EFB09" w14:textId="77777777" w:rsidR="00662ECF" w:rsidRPr="00662ECF" w:rsidRDefault="00662ECF" w:rsidP="006237F0">
            <w:pPr>
              <w:pStyle w:val="tv213"/>
              <w:shd w:val="clear" w:color="auto" w:fill="FFFFFF"/>
              <w:spacing w:before="120" w:beforeAutospacing="0" w:after="0" w:afterAutospacing="0"/>
              <w:ind w:firstLine="203"/>
              <w:jc w:val="both"/>
              <w:rPr>
                <w:highlight w:val="yellow"/>
              </w:rPr>
            </w:pPr>
          </w:p>
        </w:tc>
      </w:tr>
      <w:tr w:rsidR="00662ECF" w:rsidRPr="00676B4D" w14:paraId="4D878E2F"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61E44189" w14:textId="77777777" w:rsidR="00662ECF" w:rsidRPr="00676B4D" w:rsidRDefault="00662ECF" w:rsidP="006237F0">
            <w:pPr>
              <w:spacing w:before="120"/>
              <w:rPr>
                <w:iCs/>
                <w:lang w:eastAsia="lv-LV"/>
              </w:rPr>
            </w:pPr>
            <w:r w:rsidRPr="00676B4D">
              <w:rPr>
                <w:iCs/>
                <w:lang w:eastAsia="lv-LV"/>
              </w:rPr>
              <w:t>6.1. detalizēts ieņēmumu aprēķins</w:t>
            </w:r>
          </w:p>
        </w:tc>
        <w:tc>
          <w:tcPr>
            <w:tcW w:w="4111" w:type="pct"/>
            <w:gridSpan w:val="7"/>
            <w:vMerge/>
            <w:tcBorders>
              <w:top w:val="outset" w:sz="6" w:space="0" w:color="auto"/>
              <w:left w:val="outset" w:sz="6" w:space="0" w:color="auto"/>
              <w:bottom w:val="outset" w:sz="6" w:space="0" w:color="auto"/>
              <w:right w:val="outset" w:sz="6" w:space="0" w:color="auto"/>
            </w:tcBorders>
            <w:vAlign w:val="center"/>
            <w:hideMark/>
          </w:tcPr>
          <w:p w14:paraId="0CB3170A" w14:textId="77777777" w:rsidR="00662ECF" w:rsidRPr="00676B4D" w:rsidRDefault="00662ECF" w:rsidP="006237F0">
            <w:pPr>
              <w:spacing w:before="120"/>
              <w:rPr>
                <w:iCs/>
                <w:lang w:eastAsia="lv-LV"/>
              </w:rPr>
            </w:pPr>
          </w:p>
        </w:tc>
      </w:tr>
      <w:tr w:rsidR="00662ECF" w:rsidRPr="00676B4D" w14:paraId="3539325A"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646679B6" w14:textId="77777777" w:rsidR="00662ECF" w:rsidRPr="00676B4D" w:rsidRDefault="00662ECF" w:rsidP="006237F0">
            <w:pPr>
              <w:spacing w:before="120"/>
              <w:rPr>
                <w:iCs/>
                <w:lang w:eastAsia="lv-LV"/>
              </w:rPr>
            </w:pPr>
            <w:r w:rsidRPr="00676B4D">
              <w:rPr>
                <w:iCs/>
                <w:lang w:eastAsia="lv-LV"/>
              </w:rPr>
              <w:t>6.2. detalizēts izdevumu aprēķins</w:t>
            </w:r>
          </w:p>
        </w:tc>
        <w:tc>
          <w:tcPr>
            <w:tcW w:w="4111" w:type="pct"/>
            <w:gridSpan w:val="7"/>
            <w:vMerge/>
            <w:tcBorders>
              <w:top w:val="outset" w:sz="6" w:space="0" w:color="auto"/>
              <w:left w:val="outset" w:sz="6" w:space="0" w:color="auto"/>
              <w:bottom w:val="outset" w:sz="6" w:space="0" w:color="auto"/>
              <w:right w:val="outset" w:sz="6" w:space="0" w:color="auto"/>
            </w:tcBorders>
            <w:vAlign w:val="center"/>
            <w:hideMark/>
          </w:tcPr>
          <w:p w14:paraId="4A5836C0" w14:textId="77777777" w:rsidR="00662ECF" w:rsidRPr="00676B4D" w:rsidRDefault="00662ECF" w:rsidP="006237F0">
            <w:pPr>
              <w:spacing w:before="120"/>
              <w:rPr>
                <w:iCs/>
                <w:lang w:eastAsia="lv-LV"/>
              </w:rPr>
            </w:pPr>
          </w:p>
        </w:tc>
      </w:tr>
      <w:tr w:rsidR="00662ECF" w:rsidRPr="00676B4D" w14:paraId="01276937"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6E4D6EEC" w14:textId="77777777" w:rsidR="00662ECF" w:rsidRPr="00676B4D" w:rsidRDefault="00662ECF" w:rsidP="006237F0">
            <w:pPr>
              <w:spacing w:before="120"/>
              <w:rPr>
                <w:iCs/>
                <w:lang w:eastAsia="lv-LV"/>
              </w:rPr>
            </w:pPr>
            <w:r w:rsidRPr="00676B4D">
              <w:rPr>
                <w:iCs/>
                <w:lang w:eastAsia="lv-LV"/>
              </w:rPr>
              <w:t>7. Amata vietu skaita izmaiņas</w:t>
            </w:r>
          </w:p>
        </w:tc>
        <w:tc>
          <w:tcPr>
            <w:tcW w:w="4111" w:type="pct"/>
            <w:gridSpan w:val="7"/>
            <w:tcBorders>
              <w:top w:val="outset" w:sz="6" w:space="0" w:color="auto"/>
              <w:left w:val="outset" w:sz="6" w:space="0" w:color="auto"/>
              <w:bottom w:val="outset" w:sz="6" w:space="0" w:color="auto"/>
              <w:right w:val="outset" w:sz="6" w:space="0" w:color="auto"/>
            </w:tcBorders>
            <w:hideMark/>
          </w:tcPr>
          <w:p w14:paraId="2BA557D6" w14:textId="77777777" w:rsidR="00662ECF" w:rsidRPr="00676B4D" w:rsidRDefault="00662ECF" w:rsidP="006237F0">
            <w:pPr>
              <w:spacing w:before="120"/>
              <w:rPr>
                <w:iCs/>
                <w:lang w:eastAsia="lv-LV"/>
              </w:rPr>
            </w:pPr>
            <w:r w:rsidRPr="00676B4D">
              <w:rPr>
                <w:iCs/>
                <w:lang w:eastAsia="lv-LV"/>
              </w:rPr>
              <w:t>Projekts šo jomu neskar.</w:t>
            </w:r>
          </w:p>
        </w:tc>
      </w:tr>
      <w:tr w:rsidR="00662ECF" w:rsidRPr="00676B4D" w14:paraId="190B807E" w14:textId="77777777" w:rsidTr="00662ECF">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5FFC067F" w14:textId="77777777" w:rsidR="00662ECF" w:rsidRPr="00676B4D" w:rsidRDefault="00662ECF" w:rsidP="006237F0">
            <w:pPr>
              <w:spacing w:before="120"/>
              <w:rPr>
                <w:iCs/>
                <w:lang w:eastAsia="lv-LV"/>
              </w:rPr>
            </w:pPr>
            <w:r w:rsidRPr="00676B4D">
              <w:rPr>
                <w:iCs/>
                <w:lang w:eastAsia="lv-LV"/>
              </w:rPr>
              <w:t>8. Cita informācija</w:t>
            </w:r>
          </w:p>
        </w:tc>
        <w:tc>
          <w:tcPr>
            <w:tcW w:w="4111" w:type="pct"/>
            <w:gridSpan w:val="7"/>
            <w:tcBorders>
              <w:top w:val="outset" w:sz="6" w:space="0" w:color="auto"/>
              <w:left w:val="outset" w:sz="6" w:space="0" w:color="auto"/>
              <w:bottom w:val="outset" w:sz="6" w:space="0" w:color="auto"/>
              <w:right w:val="outset" w:sz="6" w:space="0" w:color="auto"/>
            </w:tcBorders>
            <w:hideMark/>
          </w:tcPr>
          <w:p w14:paraId="629213B9" w14:textId="77777777" w:rsidR="00662ECF" w:rsidRPr="00676B4D" w:rsidRDefault="00662ECF" w:rsidP="006237F0">
            <w:pPr>
              <w:spacing w:before="120"/>
              <w:jc w:val="both"/>
              <w:rPr>
                <w:iCs/>
                <w:lang w:eastAsia="lv-LV"/>
              </w:rPr>
            </w:pPr>
          </w:p>
        </w:tc>
      </w:tr>
      <w:tr w:rsidR="00284C3F" w:rsidRPr="00C939E3" w14:paraId="51E5F019" w14:textId="77777777" w:rsidTr="00662ECF">
        <w:trPr>
          <w:tblCellSpacing w:w="15" w:type="dxa"/>
        </w:trPr>
        <w:tc>
          <w:tcPr>
            <w:tcW w:w="4969" w:type="pct"/>
            <w:gridSpan w:val="8"/>
            <w:tcBorders>
              <w:top w:val="outset" w:sz="6" w:space="0" w:color="auto"/>
              <w:left w:val="outset" w:sz="6" w:space="0" w:color="auto"/>
              <w:bottom w:val="outset" w:sz="6" w:space="0" w:color="auto"/>
              <w:right w:val="outset" w:sz="6" w:space="0" w:color="auto"/>
            </w:tcBorders>
            <w:vAlign w:val="center"/>
          </w:tcPr>
          <w:p w14:paraId="263171C2" w14:textId="3D34A48F" w:rsidR="00284C3F" w:rsidRPr="00C939E3" w:rsidRDefault="00BF2066" w:rsidP="006237F0">
            <w:pPr>
              <w:spacing w:before="120"/>
              <w:ind w:firstLine="336"/>
              <w:jc w:val="center"/>
              <w:rPr>
                <w:b/>
                <w:bCs/>
                <w:iCs/>
                <w:sz w:val="26"/>
                <w:szCs w:val="26"/>
                <w:lang w:eastAsia="lv-LV"/>
              </w:rPr>
            </w:pPr>
            <w:r w:rsidRPr="00C939E3">
              <w:rPr>
                <w:szCs w:val="28"/>
              </w:rPr>
              <w:t>Noteikumu</w:t>
            </w:r>
            <w:r w:rsidRPr="00C939E3">
              <w:t xml:space="preserve"> projekts šo jomu neskar.</w:t>
            </w:r>
          </w:p>
        </w:tc>
      </w:tr>
    </w:tbl>
    <w:p w14:paraId="0F1B714E" w14:textId="2BD3EF49" w:rsidR="00284C3F" w:rsidRPr="00C939E3" w:rsidRDefault="00284C3F" w:rsidP="006237F0">
      <w:pPr>
        <w:pStyle w:val="naisnod"/>
        <w:spacing w:before="120" w:beforeAutospacing="0" w:after="0" w:afterAutospacing="0"/>
        <w:ind w:left="57"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0"/>
      </w:tblGrid>
      <w:tr w:rsidR="004A282E" w:rsidRPr="00C939E3" w14:paraId="525C051F" w14:textId="77777777" w:rsidTr="00901E2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27F73940" w14:textId="77777777" w:rsidR="00284C3F" w:rsidRPr="00C939E3" w:rsidRDefault="00284C3F" w:rsidP="006237F0">
            <w:pPr>
              <w:spacing w:before="120"/>
              <w:rPr>
                <w:b/>
                <w:bCs/>
                <w:iCs/>
                <w:sz w:val="26"/>
                <w:szCs w:val="26"/>
                <w:lang w:eastAsia="lv-LV"/>
              </w:rPr>
            </w:pPr>
            <w:r w:rsidRPr="00C939E3">
              <w:rPr>
                <w:b/>
                <w:bCs/>
                <w:iCs/>
                <w:sz w:val="26"/>
                <w:szCs w:val="26"/>
                <w:lang w:eastAsia="lv-LV"/>
              </w:rPr>
              <w:t>IV. Tiesību akta projekta ietekme uz spēkā esošo tiesību normu sistēmu</w:t>
            </w:r>
          </w:p>
        </w:tc>
      </w:tr>
      <w:tr w:rsidR="00284C3F" w:rsidRPr="00C939E3" w14:paraId="5D70700A" w14:textId="77777777" w:rsidTr="00901E21">
        <w:trPr>
          <w:trHeight w:val="317"/>
          <w:tblCellSpacing w:w="15" w:type="dxa"/>
        </w:trPr>
        <w:tc>
          <w:tcPr>
            <w:tcW w:w="4969" w:type="pct"/>
            <w:tcBorders>
              <w:top w:val="outset" w:sz="6" w:space="0" w:color="auto"/>
              <w:left w:val="outset" w:sz="6" w:space="0" w:color="auto"/>
              <w:bottom w:val="outset" w:sz="6" w:space="0" w:color="auto"/>
              <w:right w:val="outset" w:sz="6" w:space="0" w:color="auto"/>
            </w:tcBorders>
            <w:hideMark/>
          </w:tcPr>
          <w:p w14:paraId="2F3D4AEF" w14:textId="550A609F" w:rsidR="00284C3F" w:rsidRPr="00C939E3" w:rsidRDefault="00BF2066" w:rsidP="006237F0">
            <w:pPr>
              <w:spacing w:before="120"/>
              <w:ind w:firstLine="336"/>
              <w:jc w:val="center"/>
              <w:rPr>
                <w:iCs/>
                <w:sz w:val="26"/>
                <w:szCs w:val="26"/>
                <w:lang w:eastAsia="lv-LV"/>
              </w:rPr>
            </w:pPr>
            <w:r w:rsidRPr="00C939E3">
              <w:rPr>
                <w:szCs w:val="28"/>
              </w:rPr>
              <w:t>Noteikumu</w:t>
            </w:r>
            <w:r w:rsidRPr="00C939E3">
              <w:t xml:space="preserve"> projekts šo jomu neskar.</w:t>
            </w:r>
          </w:p>
        </w:tc>
      </w:tr>
    </w:tbl>
    <w:p w14:paraId="7C8F7E8F" w14:textId="42CF4721" w:rsidR="00284C3F" w:rsidRPr="00C939E3" w:rsidRDefault="00284C3F" w:rsidP="006237F0">
      <w:pPr>
        <w:pStyle w:val="naisnod"/>
        <w:spacing w:before="120" w:beforeAutospacing="0" w:after="0" w:afterAutospacing="0"/>
        <w:ind w:left="57" w:right="57"/>
        <w:rPr>
          <w:b/>
        </w:rPr>
      </w:pPr>
    </w:p>
    <w:p w14:paraId="24E8A225" w14:textId="7B95AD50" w:rsidR="00284C3F" w:rsidRPr="00C939E3" w:rsidRDefault="00284C3F" w:rsidP="006237F0">
      <w:pPr>
        <w:pStyle w:val="naisnod"/>
        <w:spacing w:before="120" w:beforeAutospacing="0" w:after="0" w:afterAutospacing="0"/>
        <w:ind w:left="57" w:right="57"/>
        <w:rPr>
          <w:b/>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69"/>
        <w:gridCol w:w="6672"/>
      </w:tblGrid>
      <w:tr w:rsidR="00C73118" w:rsidRPr="00C939E3" w14:paraId="1F160DC2" w14:textId="77777777" w:rsidTr="00901E21">
        <w:trPr>
          <w:cantSplit/>
        </w:trPr>
        <w:tc>
          <w:tcPr>
            <w:tcW w:w="5000" w:type="pct"/>
            <w:gridSpan w:val="2"/>
            <w:vAlign w:val="center"/>
            <w:hideMark/>
          </w:tcPr>
          <w:p w14:paraId="4D3255E5" w14:textId="77777777" w:rsidR="00C73118" w:rsidRPr="00C939E3" w:rsidRDefault="00C73118" w:rsidP="006237F0">
            <w:pPr>
              <w:spacing w:before="120"/>
              <w:jc w:val="center"/>
              <w:rPr>
                <w:b/>
                <w:bCs/>
                <w:iCs/>
                <w:sz w:val="26"/>
                <w:szCs w:val="26"/>
                <w:lang w:eastAsia="lv-LV"/>
              </w:rPr>
            </w:pPr>
            <w:r w:rsidRPr="00C939E3">
              <w:rPr>
                <w:b/>
                <w:bCs/>
                <w:iCs/>
                <w:sz w:val="26"/>
                <w:szCs w:val="26"/>
                <w:lang w:eastAsia="lv-LV"/>
              </w:rPr>
              <w:t>V. Tiesību akta projekta atbilstība Latvijas Republikas starptautiskajām saistībām</w:t>
            </w:r>
          </w:p>
        </w:tc>
      </w:tr>
      <w:tr w:rsidR="00C73118" w:rsidRPr="00C939E3" w14:paraId="4174EC6C" w14:textId="77777777" w:rsidTr="00901E21">
        <w:trPr>
          <w:cantSplit/>
        </w:trPr>
        <w:tc>
          <w:tcPr>
            <w:tcW w:w="1540" w:type="pct"/>
            <w:hideMark/>
          </w:tcPr>
          <w:p w14:paraId="2C1A7D9B" w14:textId="77777777" w:rsidR="00C73118" w:rsidRPr="00C939E3" w:rsidRDefault="00C73118" w:rsidP="006237F0">
            <w:pPr>
              <w:spacing w:before="120"/>
            </w:pPr>
            <w:r w:rsidRPr="00C939E3">
              <w:lastRenderedPageBreak/>
              <w:t>Saistības pret Eiropas Savienību</w:t>
            </w:r>
          </w:p>
        </w:tc>
        <w:tc>
          <w:tcPr>
            <w:tcW w:w="3460" w:type="pct"/>
            <w:hideMark/>
          </w:tcPr>
          <w:p w14:paraId="0F516AA5" w14:textId="4E64E2FB" w:rsidR="00702A7E" w:rsidRPr="00C939E3" w:rsidRDefault="00C73118" w:rsidP="006237F0">
            <w:pPr>
              <w:spacing w:before="120"/>
              <w:jc w:val="both"/>
            </w:pPr>
            <w:r w:rsidRPr="00C939E3">
              <w:t>Tiesību akta projekts atbilst Latvijas Republikas starptautiskajām saistībām</w:t>
            </w:r>
            <w:r w:rsidR="00702A7E">
              <w:t xml:space="preserve"> un 17.12.2013. </w:t>
            </w:r>
            <w:r w:rsidR="00702A7E" w:rsidRPr="009B0B4A">
              <w:t xml:space="preserve">Eiropas Parlamenta un Padomes </w:t>
            </w:r>
            <w:r w:rsidR="00702A7E">
              <w:t>(ES)</w:t>
            </w:r>
            <w:r w:rsidR="00702A7E" w:rsidRPr="009B0B4A">
              <w:t xml:space="preserve"> </w:t>
            </w:r>
            <w:r w:rsidR="00702A7E">
              <w:t>Regulai Nr.</w:t>
            </w:r>
            <w:r w:rsidR="00702A7E" w:rsidRPr="009B0B4A">
              <w:t xml:space="preserve"> 1303/2013</w:t>
            </w:r>
            <w:r w:rsidR="00702A7E">
              <w:t>.</w:t>
            </w:r>
          </w:p>
        </w:tc>
      </w:tr>
      <w:tr w:rsidR="00C73118" w:rsidRPr="00C939E3" w14:paraId="4DC5F894" w14:textId="77777777" w:rsidTr="00901E21">
        <w:trPr>
          <w:cantSplit/>
        </w:trPr>
        <w:tc>
          <w:tcPr>
            <w:tcW w:w="1540" w:type="pct"/>
            <w:hideMark/>
          </w:tcPr>
          <w:p w14:paraId="3D9EB2B7" w14:textId="77777777" w:rsidR="00C73118" w:rsidRPr="00C939E3" w:rsidRDefault="00C73118" w:rsidP="006237F0">
            <w:pPr>
              <w:spacing w:before="120"/>
            </w:pPr>
            <w:r w:rsidRPr="00C939E3">
              <w:t>Citas starptautiskās saistības</w:t>
            </w:r>
          </w:p>
        </w:tc>
        <w:tc>
          <w:tcPr>
            <w:tcW w:w="3460" w:type="pct"/>
            <w:hideMark/>
          </w:tcPr>
          <w:p w14:paraId="0C3AFB43" w14:textId="658C8982" w:rsidR="00C73118" w:rsidRPr="00C939E3" w:rsidRDefault="006F0B28" w:rsidP="006237F0">
            <w:pPr>
              <w:spacing w:before="120"/>
            </w:pPr>
            <w:r>
              <w:t>Noteikumu p</w:t>
            </w:r>
            <w:r w:rsidR="007E5AFB" w:rsidRPr="007E5AFB">
              <w:t>rojekts šo jomu neskar.</w:t>
            </w:r>
          </w:p>
        </w:tc>
      </w:tr>
      <w:tr w:rsidR="00C73118" w:rsidRPr="00C939E3" w14:paraId="7E1E5383" w14:textId="77777777" w:rsidTr="00901E21">
        <w:trPr>
          <w:cantSplit/>
        </w:trPr>
        <w:tc>
          <w:tcPr>
            <w:tcW w:w="1540" w:type="pct"/>
            <w:hideMark/>
          </w:tcPr>
          <w:p w14:paraId="3EDE2B4B" w14:textId="77777777" w:rsidR="00C73118" w:rsidRPr="00C939E3" w:rsidRDefault="00C73118" w:rsidP="006237F0">
            <w:pPr>
              <w:spacing w:before="120"/>
            </w:pPr>
            <w:r w:rsidRPr="00C939E3">
              <w:t>Cita informācija</w:t>
            </w:r>
          </w:p>
        </w:tc>
        <w:tc>
          <w:tcPr>
            <w:tcW w:w="3460" w:type="pct"/>
            <w:hideMark/>
          </w:tcPr>
          <w:p w14:paraId="6C2FBACE" w14:textId="2FD4AF6A" w:rsidR="00C73118" w:rsidRPr="00C939E3" w:rsidRDefault="00702A7E" w:rsidP="006237F0">
            <w:pPr>
              <w:spacing w:before="120"/>
              <w:jc w:val="both"/>
            </w:pPr>
            <w:r>
              <w:t>Nav.</w:t>
            </w:r>
          </w:p>
        </w:tc>
      </w:tr>
    </w:tbl>
    <w:p w14:paraId="3826E254" w14:textId="46C58B8E" w:rsidR="00C73118" w:rsidRPr="00C939E3" w:rsidRDefault="00C73118" w:rsidP="006237F0">
      <w:pPr>
        <w:pStyle w:val="naisnod"/>
        <w:spacing w:before="120" w:beforeAutospacing="0" w:after="0" w:afterAutospacing="0"/>
        <w:ind w:left="57" w:right="57"/>
        <w:rPr>
          <w:b/>
        </w:rPr>
      </w:pPr>
    </w:p>
    <w:tbl>
      <w:tblPr>
        <w:tblW w:w="9594" w:type="dxa"/>
        <w:jc w:val="center"/>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2200"/>
        <w:gridCol w:w="2457"/>
        <w:gridCol w:w="2695"/>
        <w:gridCol w:w="2242"/>
      </w:tblGrid>
      <w:tr w:rsidR="00C73118" w:rsidRPr="00C939E3" w14:paraId="170733C8" w14:textId="77777777" w:rsidTr="00702A7E">
        <w:trPr>
          <w:jc w:val="center"/>
        </w:trPr>
        <w:tc>
          <w:tcPr>
            <w:tcW w:w="9594" w:type="dxa"/>
            <w:gridSpan w:val="4"/>
            <w:tcBorders>
              <w:top w:val="outset" w:sz="6" w:space="0" w:color="auto"/>
              <w:left w:val="outset" w:sz="6" w:space="0" w:color="auto"/>
              <w:bottom w:val="outset" w:sz="6" w:space="0" w:color="auto"/>
              <w:right w:val="outset" w:sz="6" w:space="0" w:color="auto"/>
            </w:tcBorders>
            <w:vAlign w:val="center"/>
            <w:hideMark/>
          </w:tcPr>
          <w:p w14:paraId="7EFC8432" w14:textId="77777777" w:rsidR="00C73118" w:rsidRPr="00C939E3" w:rsidRDefault="00C73118" w:rsidP="006237F0">
            <w:pPr>
              <w:spacing w:before="120"/>
              <w:rPr>
                <w:b/>
              </w:rPr>
            </w:pPr>
            <w:r w:rsidRPr="00C939E3">
              <w:rPr>
                <w:b/>
              </w:rPr>
              <w:t>1. tabula</w:t>
            </w:r>
          </w:p>
          <w:p w14:paraId="38685EBC" w14:textId="77777777" w:rsidR="00C73118" w:rsidRPr="00C939E3" w:rsidRDefault="00C73118" w:rsidP="006237F0">
            <w:pPr>
              <w:spacing w:before="120"/>
            </w:pPr>
            <w:r w:rsidRPr="00C939E3">
              <w:rPr>
                <w:b/>
              </w:rPr>
              <w:t>Tiesību akta projekta atbilstība ES tiesību aktiem</w:t>
            </w:r>
          </w:p>
        </w:tc>
      </w:tr>
      <w:tr w:rsidR="00C73118" w:rsidRPr="00C939E3" w14:paraId="08E47F70" w14:textId="77777777" w:rsidTr="00702A7E">
        <w:trPr>
          <w:jc w:val="center"/>
        </w:trPr>
        <w:tc>
          <w:tcPr>
            <w:tcW w:w="2200" w:type="dxa"/>
            <w:tcBorders>
              <w:top w:val="outset" w:sz="6" w:space="0" w:color="auto"/>
              <w:left w:val="outset" w:sz="6" w:space="0" w:color="auto"/>
              <w:bottom w:val="outset" w:sz="6" w:space="0" w:color="auto"/>
              <w:right w:val="outset" w:sz="6" w:space="0" w:color="auto"/>
            </w:tcBorders>
            <w:hideMark/>
          </w:tcPr>
          <w:p w14:paraId="0A5A3F33" w14:textId="77777777" w:rsidR="00C73118" w:rsidRPr="00C939E3" w:rsidRDefault="00C73118" w:rsidP="006237F0">
            <w:pPr>
              <w:spacing w:before="120"/>
            </w:pPr>
            <w:r w:rsidRPr="00C939E3">
              <w:t>Attiecīgā ES tiesību akta datums, numurs un nosaukums</w:t>
            </w:r>
          </w:p>
        </w:tc>
        <w:tc>
          <w:tcPr>
            <w:tcW w:w="7394" w:type="dxa"/>
            <w:gridSpan w:val="3"/>
            <w:tcBorders>
              <w:top w:val="outset" w:sz="6" w:space="0" w:color="auto"/>
              <w:left w:val="outset" w:sz="6" w:space="0" w:color="auto"/>
              <w:bottom w:val="outset" w:sz="6" w:space="0" w:color="auto"/>
              <w:right w:val="outset" w:sz="6" w:space="0" w:color="auto"/>
            </w:tcBorders>
            <w:hideMark/>
          </w:tcPr>
          <w:p w14:paraId="1BD6576C" w14:textId="449CCF5F" w:rsidR="00C73118" w:rsidRPr="00C939E3" w:rsidRDefault="00702A7E" w:rsidP="006237F0">
            <w:pPr>
              <w:pStyle w:val="naiskr"/>
              <w:spacing w:before="120" w:beforeAutospacing="0" w:after="0" w:afterAutospacing="0"/>
              <w:ind w:left="57" w:right="57"/>
              <w:jc w:val="both"/>
            </w:pPr>
            <w:r>
              <w:t xml:space="preserve">17.12.2013. </w:t>
            </w:r>
            <w:r w:rsidRPr="009B0B4A">
              <w:t xml:space="preserve">Eiropas Parlamenta un Padomes </w:t>
            </w:r>
            <w:r>
              <w:t>(ES)</w:t>
            </w:r>
            <w:r w:rsidRPr="009B0B4A">
              <w:t xml:space="preserve"> Regula</w:t>
            </w:r>
            <w:r>
              <w:t xml:space="preserve"> </w:t>
            </w:r>
            <w:r w:rsidRPr="009B0B4A">
              <w:t>Nr. 1303/2013</w:t>
            </w:r>
            <w:r>
              <w:t xml:space="preserve"> </w:t>
            </w:r>
            <w:r w:rsidRPr="009367A1">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tc>
      </w:tr>
      <w:tr w:rsidR="00C73118" w:rsidRPr="00C939E3" w14:paraId="0E1A0180" w14:textId="77777777" w:rsidTr="00702A7E">
        <w:trPr>
          <w:jc w:val="center"/>
        </w:trPr>
        <w:tc>
          <w:tcPr>
            <w:tcW w:w="2200" w:type="dxa"/>
            <w:tcBorders>
              <w:top w:val="outset" w:sz="6" w:space="0" w:color="auto"/>
              <w:left w:val="outset" w:sz="6" w:space="0" w:color="auto"/>
              <w:bottom w:val="outset" w:sz="6" w:space="0" w:color="auto"/>
              <w:right w:val="outset" w:sz="6" w:space="0" w:color="auto"/>
            </w:tcBorders>
            <w:vAlign w:val="center"/>
            <w:hideMark/>
          </w:tcPr>
          <w:p w14:paraId="40F99DD1" w14:textId="77777777" w:rsidR="00C73118" w:rsidRPr="00C939E3" w:rsidRDefault="00C73118" w:rsidP="006237F0">
            <w:pPr>
              <w:spacing w:before="120"/>
            </w:pPr>
            <w:r w:rsidRPr="00C939E3">
              <w:t>A</w:t>
            </w:r>
          </w:p>
        </w:tc>
        <w:tc>
          <w:tcPr>
            <w:tcW w:w="2457" w:type="dxa"/>
            <w:tcBorders>
              <w:top w:val="outset" w:sz="6" w:space="0" w:color="auto"/>
              <w:left w:val="outset" w:sz="6" w:space="0" w:color="auto"/>
              <w:bottom w:val="outset" w:sz="6" w:space="0" w:color="auto"/>
              <w:right w:val="outset" w:sz="6" w:space="0" w:color="auto"/>
            </w:tcBorders>
            <w:vAlign w:val="center"/>
            <w:hideMark/>
          </w:tcPr>
          <w:p w14:paraId="43282242" w14:textId="77777777" w:rsidR="00C73118" w:rsidRPr="00C939E3" w:rsidRDefault="00C73118" w:rsidP="006237F0">
            <w:pPr>
              <w:spacing w:before="120"/>
            </w:pPr>
            <w:r w:rsidRPr="00C939E3">
              <w:t>B</w:t>
            </w:r>
          </w:p>
        </w:tc>
        <w:tc>
          <w:tcPr>
            <w:tcW w:w="2695" w:type="dxa"/>
            <w:tcBorders>
              <w:top w:val="outset" w:sz="6" w:space="0" w:color="auto"/>
              <w:left w:val="outset" w:sz="6" w:space="0" w:color="auto"/>
              <w:bottom w:val="outset" w:sz="6" w:space="0" w:color="auto"/>
              <w:right w:val="outset" w:sz="6" w:space="0" w:color="auto"/>
            </w:tcBorders>
            <w:vAlign w:val="center"/>
            <w:hideMark/>
          </w:tcPr>
          <w:p w14:paraId="75B714D1" w14:textId="77777777" w:rsidR="00C73118" w:rsidRPr="00C939E3" w:rsidRDefault="00C73118" w:rsidP="006237F0">
            <w:pPr>
              <w:spacing w:before="120"/>
            </w:pPr>
            <w:r w:rsidRPr="00C939E3">
              <w:t>C</w:t>
            </w:r>
          </w:p>
        </w:tc>
        <w:tc>
          <w:tcPr>
            <w:tcW w:w="2242" w:type="dxa"/>
            <w:tcBorders>
              <w:top w:val="outset" w:sz="6" w:space="0" w:color="auto"/>
              <w:left w:val="outset" w:sz="6" w:space="0" w:color="auto"/>
              <w:bottom w:val="outset" w:sz="6" w:space="0" w:color="auto"/>
              <w:right w:val="outset" w:sz="6" w:space="0" w:color="auto"/>
            </w:tcBorders>
            <w:vAlign w:val="center"/>
            <w:hideMark/>
          </w:tcPr>
          <w:p w14:paraId="0BA683C6" w14:textId="77777777" w:rsidR="00C73118" w:rsidRPr="00C939E3" w:rsidRDefault="00C73118" w:rsidP="006237F0">
            <w:pPr>
              <w:spacing w:before="120"/>
            </w:pPr>
            <w:r w:rsidRPr="00C939E3">
              <w:t>D</w:t>
            </w:r>
          </w:p>
        </w:tc>
      </w:tr>
      <w:tr w:rsidR="00C73118" w:rsidRPr="00C939E3" w14:paraId="42A39BD1" w14:textId="77777777" w:rsidTr="00702A7E">
        <w:trPr>
          <w:jc w:val="center"/>
        </w:trPr>
        <w:tc>
          <w:tcPr>
            <w:tcW w:w="2200" w:type="dxa"/>
            <w:tcBorders>
              <w:top w:val="outset" w:sz="6" w:space="0" w:color="auto"/>
              <w:left w:val="outset" w:sz="6" w:space="0" w:color="auto"/>
              <w:bottom w:val="outset" w:sz="6" w:space="0" w:color="auto"/>
              <w:right w:val="outset" w:sz="6" w:space="0" w:color="auto"/>
            </w:tcBorders>
          </w:tcPr>
          <w:p w14:paraId="16B83251" w14:textId="77777777" w:rsidR="00C73118" w:rsidRPr="00C939E3" w:rsidRDefault="00C73118" w:rsidP="006237F0">
            <w:pPr>
              <w:spacing w:before="120"/>
            </w:pPr>
            <w:r w:rsidRPr="00C939E3">
              <w:t>Attiecīgā ES tiesību akta panta numurs (uzskaitot katru tiesību akta vienību – pantu, daļu, punktu, apakšpunktu)</w:t>
            </w:r>
          </w:p>
        </w:tc>
        <w:tc>
          <w:tcPr>
            <w:tcW w:w="2457" w:type="dxa"/>
            <w:tcBorders>
              <w:top w:val="outset" w:sz="6" w:space="0" w:color="auto"/>
              <w:left w:val="outset" w:sz="6" w:space="0" w:color="auto"/>
              <w:bottom w:val="outset" w:sz="6" w:space="0" w:color="auto"/>
              <w:right w:val="outset" w:sz="6" w:space="0" w:color="auto"/>
            </w:tcBorders>
          </w:tcPr>
          <w:p w14:paraId="336F0459" w14:textId="77777777" w:rsidR="00C73118" w:rsidRPr="00C939E3" w:rsidRDefault="00C73118" w:rsidP="006237F0">
            <w:pPr>
              <w:spacing w:before="120"/>
            </w:pPr>
            <w:r w:rsidRPr="00C939E3">
              <w:t>Projekta vienība, kas pārņem vai ievieš katru šīs tabulas A ailē minēto ES tiesību akta vienību, vai tiesību akts, kur attiecīgā ES tiesību akta vienība pārņemta vai ieviesta</w:t>
            </w:r>
          </w:p>
        </w:tc>
        <w:tc>
          <w:tcPr>
            <w:tcW w:w="2695" w:type="dxa"/>
            <w:tcBorders>
              <w:top w:val="outset" w:sz="6" w:space="0" w:color="auto"/>
              <w:left w:val="outset" w:sz="6" w:space="0" w:color="auto"/>
              <w:bottom w:val="outset" w:sz="6" w:space="0" w:color="auto"/>
              <w:right w:val="outset" w:sz="6" w:space="0" w:color="auto"/>
            </w:tcBorders>
          </w:tcPr>
          <w:p w14:paraId="4506A9A4" w14:textId="77777777" w:rsidR="00C73118" w:rsidRPr="00C939E3" w:rsidRDefault="00C73118" w:rsidP="006237F0">
            <w:pPr>
              <w:pStyle w:val="naiskr"/>
              <w:spacing w:before="120" w:beforeAutospacing="0" w:after="0" w:afterAutospacing="0"/>
              <w:ind w:left="57" w:right="57"/>
            </w:pPr>
            <w:r w:rsidRPr="00C939E3">
              <w:t xml:space="preserve">Informācija par to, vai šīs tabulas A ailē minētās ES tiesību akta vienības tiek pārņemtas vai ieviestas pilnībā vai daļēji. </w:t>
            </w:r>
          </w:p>
          <w:p w14:paraId="2BA6D438" w14:textId="77777777" w:rsidR="00C73118" w:rsidRPr="00C939E3" w:rsidRDefault="00C73118" w:rsidP="006237F0">
            <w:pPr>
              <w:pStyle w:val="naiskr"/>
              <w:spacing w:before="120" w:beforeAutospacing="0" w:after="0" w:afterAutospacing="0"/>
              <w:ind w:left="57" w:right="57"/>
            </w:pPr>
            <w:r w:rsidRPr="00C939E3">
              <w:t xml:space="preserve">Ja attiecīgā ES tiesību akta vienība tiek pārņemta vai ieviesta daļēji, sniedz attiecīgu skaidrojumu, kā arī precīzi norāda, kad un kādā veidā ES tiesību akta vienība tiks pārņemta vai ieviesta pilnībā. </w:t>
            </w:r>
          </w:p>
          <w:p w14:paraId="3A282171" w14:textId="77777777" w:rsidR="00C73118" w:rsidRPr="00C939E3" w:rsidRDefault="00C73118" w:rsidP="006237F0">
            <w:pPr>
              <w:spacing w:before="120"/>
            </w:pPr>
            <w:r w:rsidRPr="00C939E3">
              <w:t>Norāda institūciju, kas ir atbildīga par šo saistību izpildi pilnībā</w:t>
            </w:r>
          </w:p>
        </w:tc>
        <w:tc>
          <w:tcPr>
            <w:tcW w:w="2242" w:type="dxa"/>
            <w:tcBorders>
              <w:top w:val="outset" w:sz="6" w:space="0" w:color="auto"/>
              <w:left w:val="outset" w:sz="6" w:space="0" w:color="auto"/>
              <w:bottom w:val="outset" w:sz="6" w:space="0" w:color="auto"/>
              <w:right w:val="outset" w:sz="6" w:space="0" w:color="auto"/>
            </w:tcBorders>
            <w:vAlign w:val="center"/>
          </w:tcPr>
          <w:p w14:paraId="3097AF43" w14:textId="77777777" w:rsidR="00C73118" w:rsidRPr="00C939E3" w:rsidRDefault="00C73118" w:rsidP="006237F0">
            <w:pPr>
              <w:pStyle w:val="naiskr"/>
              <w:spacing w:before="120" w:beforeAutospacing="0" w:after="0" w:afterAutospacing="0"/>
              <w:ind w:left="57" w:right="57"/>
            </w:pPr>
            <w:r w:rsidRPr="00C939E3">
              <w:t xml:space="preserve">Informācija par to, vai šīs tabulas B ailē minētās projekta vienības paredz stingrākas prasības nekā šīs tabulas A ailē minētās ES tiesību akta vienības. </w:t>
            </w:r>
          </w:p>
          <w:p w14:paraId="462B748E" w14:textId="77777777" w:rsidR="00C73118" w:rsidRPr="00C939E3" w:rsidRDefault="00C73118" w:rsidP="006237F0">
            <w:pPr>
              <w:pStyle w:val="naiskr"/>
              <w:spacing w:before="120" w:beforeAutospacing="0" w:after="0" w:afterAutospacing="0"/>
              <w:ind w:left="57" w:right="57"/>
            </w:pPr>
            <w:r w:rsidRPr="00C939E3">
              <w:t>Ja projekts satur stingrā</w:t>
            </w:r>
            <w:r w:rsidRPr="00C939E3">
              <w:softHyphen/>
              <w:t>kas prasības nekā attie</w:t>
            </w:r>
            <w:r w:rsidRPr="00C939E3">
              <w:softHyphen/>
              <w:t xml:space="preserve">cīgais ES tiesību akts, norāda pamatojumu un samērīgumu. </w:t>
            </w:r>
          </w:p>
          <w:p w14:paraId="0C2355EA" w14:textId="77777777" w:rsidR="00C73118" w:rsidRPr="00C939E3" w:rsidRDefault="00C73118" w:rsidP="006237F0">
            <w:pPr>
              <w:spacing w:before="120"/>
            </w:pPr>
            <w:r w:rsidRPr="00C939E3">
              <w:t>Norāda iespējamās alternatīvas (t. sk. alternatīvas, kas neparedz tiesiskā regulējuma izstrādi) – kādos gadījumos būtu iespējams izvairīties no stingrāku prasību noteikšanas, nekā paredzēts attiecīgajos ES tiesību aktos</w:t>
            </w:r>
          </w:p>
        </w:tc>
      </w:tr>
      <w:tr w:rsidR="00C73118" w:rsidRPr="00C939E3" w14:paraId="6F2C4A96" w14:textId="77777777" w:rsidTr="00702A7E">
        <w:trPr>
          <w:jc w:val="center"/>
        </w:trPr>
        <w:tc>
          <w:tcPr>
            <w:tcW w:w="2200" w:type="dxa"/>
            <w:tcBorders>
              <w:top w:val="outset" w:sz="6" w:space="0" w:color="auto"/>
              <w:left w:val="outset" w:sz="6" w:space="0" w:color="auto"/>
              <w:bottom w:val="outset" w:sz="6" w:space="0" w:color="auto"/>
              <w:right w:val="outset" w:sz="6" w:space="0" w:color="auto"/>
            </w:tcBorders>
          </w:tcPr>
          <w:p w14:paraId="71C11F71" w14:textId="5488B54B" w:rsidR="00C73118" w:rsidRPr="00C939E3" w:rsidRDefault="00702A7E" w:rsidP="006237F0">
            <w:pPr>
              <w:pStyle w:val="naiskr"/>
              <w:spacing w:before="120" w:beforeAutospacing="0" w:after="0" w:afterAutospacing="0"/>
              <w:ind w:left="57" w:right="57"/>
              <w:rPr>
                <w:bCs/>
              </w:rPr>
            </w:pPr>
            <w:r w:rsidRPr="009B0B4A">
              <w:t xml:space="preserve">Eiropas Parlamenta un Padomes Regula </w:t>
            </w:r>
            <w:r w:rsidRPr="009B0B4A">
              <w:lastRenderedPageBreak/>
              <w:t>Nr. 1303/2013, 68.a panta 1.punkts</w:t>
            </w:r>
            <w:r w:rsidRPr="00C939E3">
              <w:rPr>
                <w:bCs/>
              </w:rPr>
              <w:t xml:space="preserve"> </w:t>
            </w:r>
          </w:p>
        </w:tc>
        <w:tc>
          <w:tcPr>
            <w:tcW w:w="2457" w:type="dxa"/>
            <w:tcBorders>
              <w:top w:val="outset" w:sz="6" w:space="0" w:color="auto"/>
              <w:left w:val="outset" w:sz="6" w:space="0" w:color="auto"/>
              <w:bottom w:val="outset" w:sz="6" w:space="0" w:color="auto"/>
              <w:right w:val="outset" w:sz="6" w:space="0" w:color="auto"/>
            </w:tcBorders>
          </w:tcPr>
          <w:p w14:paraId="18E03195" w14:textId="63C84CC6" w:rsidR="00C73118" w:rsidRPr="00C939E3" w:rsidRDefault="002D76C8" w:rsidP="006237F0">
            <w:pPr>
              <w:pStyle w:val="naiskr"/>
              <w:spacing w:before="120" w:beforeAutospacing="0" w:after="0" w:afterAutospacing="0"/>
              <w:ind w:left="57" w:right="57"/>
            </w:pPr>
            <w:r w:rsidRPr="00C939E3">
              <w:lastRenderedPageBreak/>
              <w:t xml:space="preserve">MK noteikumu </w:t>
            </w:r>
            <w:r>
              <w:t xml:space="preserve">projekta </w:t>
            </w:r>
            <w:r w:rsidR="00662ECF">
              <w:t>4</w:t>
            </w:r>
            <w:r>
              <w:t>.punkts</w:t>
            </w:r>
          </w:p>
        </w:tc>
        <w:tc>
          <w:tcPr>
            <w:tcW w:w="2695" w:type="dxa"/>
            <w:tcBorders>
              <w:top w:val="outset" w:sz="6" w:space="0" w:color="auto"/>
              <w:left w:val="outset" w:sz="6" w:space="0" w:color="auto"/>
              <w:bottom w:val="outset" w:sz="6" w:space="0" w:color="auto"/>
              <w:right w:val="outset" w:sz="6" w:space="0" w:color="auto"/>
            </w:tcBorders>
          </w:tcPr>
          <w:p w14:paraId="6BDADA99" w14:textId="77777777" w:rsidR="00C73118" w:rsidRPr="00C939E3" w:rsidRDefault="00C73118" w:rsidP="006237F0">
            <w:pPr>
              <w:pStyle w:val="naiskr"/>
              <w:spacing w:before="120" w:beforeAutospacing="0" w:after="0" w:afterAutospacing="0"/>
              <w:ind w:left="57" w:right="57"/>
            </w:pPr>
            <w:r w:rsidRPr="00C939E3">
              <w:t xml:space="preserve">Tiek ieviesta pilnībā. </w:t>
            </w:r>
          </w:p>
          <w:p w14:paraId="460105A2" w14:textId="77777777" w:rsidR="00C73118" w:rsidRPr="00C939E3" w:rsidRDefault="00C73118" w:rsidP="006237F0">
            <w:pPr>
              <w:pStyle w:val="naiskr"/>
              <w:spacing w:before="120" w:beforeAutospacing="0" w:after="0" w:afterAutospacing="0"/>
              <w:ind w:left="57" w:right="57"/>
            </w:pPr>
            <w:r w:rsidRPr="00C939E3">
              <w:lastRenderedPageBreak/>
              <w:t>Atbildīgā institūcija – Veselības ministrija (projekta iesniedzējs).</w:t>
            </w:r>
          </w:p>
        </w:tc>
        <w:tc>
          <w:tcPr>
            <w:tcW w:w="2242" w:type="dxa"/>
            <w:tcBorders>
              <w:top w:val="outset" w:sz="6" w:space="0" w:color="auto"/>
              <w:left w:val="outset" w:sz="6" w:space="0" w:color="auto"/>
              <w:bottom w:val="outset" w:sz="6" w:space="0" w:color="auto"/>
              <w:right w:val="outset" w:sz="6" w:space="0" w:color="auto"/>
            </w:tcBorders>
          </w:tcPr>
          <w:p w14:paraId="304200FA" w14:textId="77777777" w:rsidR="00C73118" w:rsidRPr="00C939E3" w:rsidRDefault="00C73118" w:rsidP="006237F0">
            <w:pPr>
              <w:pStyle w:val="naiskr"/>
              <w:spacing w:before="120" w:beforeAutospacing="0" w:after="0" w:afterAutospacing="0"/>
              <w:ind w:left="57" w:right="57"/>
            </w:pPr>
            <w:r w:rsidRPr="00C939E3">
              <w:lastRenderedPageBreak/>
              <w:t>Netiek paredzētas stingrākas prasības.</w:t>
            </w:r>
          </w:p>
        </w:tc>
      </w:tr>
    </w:tbl>
    <w:p w14:paraId="0DE60AA0" w14:textId="77777777" w:rsidR="00C73118" w:rsidRPr="00C939E3" w:rsidRDefault="00C73118" w:rsidP="0021759A">
      <w:pPr>
        <w:pStyle w:val="naisnod"/>
        <w:spacing w:before="120" w:beforeAutospacing="0" w:after="0" w:afterAutospacing="0"/>
        <w:ind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77"/>
        <w:gridCol w:w="1637"/>
        <w:gridCol w:w="7326"/>
      </w:tblGrid>
      <w:tr w:rsidR="004A282E" w:rsidRPr="00C939E3" w14:paraId="403BFAFC" w14:textId="77777777" w:rsidTr="008014B6">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4E5F7C9A" w14:textId="77777777" w:rsidR="00040711" w:rsidRPr="00C939E3" w:rsidRDefault="00040711" w:rsidP="006237F0">
            <w:pPr>
              <w:spacing w:before="120"/>
              <w:rPr>
                <w:b/>
                <w:bCs/>
                <w:iCs/>
                <w:sz w:val="26"/>
                <w:szCs w:val="26"/>
                <w:lang w:eastAsia="lv-LV"/>
              </w:rPr>
            </w:pPr>
            <w:r w:rsidRPr="00C939E3">
              <w:rPr>
                <w:b/>
                <w:bCs/>
                <w:iCs/>
                <w:sz w:val="26"/>
                <w:szCs w:val="26"/>
                <w:lang w:eastAsia="lv-LV"/>
              </w:rPr>
              <w:t>VI. Sabiedrības līdzdalība un komunikācijas aktivitātes</w:t>
            </w:r>
          </w:p>
        </w:tc>
      </w:tr>
      <w:tr w:rsidR="00071A7C" w:rsidRPr="00C939E3" w14:paraId="127890B4" w14:textId="77777777" w:rsidTr="008014B6">
        <w:trPr>
          <w:trHeight w:val="279"/>
          <w:tblCellSpacing w:w="15" w:type="dxa"/>
        </w:trPr>
        <w:tc>
          <w:tcPr>
            <w:tcW w:w="330" w:type="pct"/>
            <w:tcBorders>
              <w:top w:val="outset" w:sz="6" w:space="0" w:color="auto"/>
              <w:left w:val="outset" w:sz="6" w:space="0" w:color="auto"/>
              <w:bottom w:val="outset" w:sz="6" w:space="0" w:color="auto"/>
              <w:right w:val="outset" w:sz="6" w:space="0" w:color="auto"/>
            </w:tcBorders>
            <w:hideMark/>
          </w:tcPr>
          <w:p w14:paraId="5818639F" w14:textId="77777777" w:rsidR="00040711" w:rsidRPr="00C939E3" w:rsidRDefault="00040711" w:rsidP="006237F0">
            <w:pPr>
              <w:spacing w:before="120"/>
              <w:rPr>
                <w:iCs/>
                <w:sz w:val="26"/>
                <w:szCs w:val="26"/>
                <w:lang w:eastAsia="lv-LV"/>
              </w:rPr>
            </w:pPr>
            <w:r w:rsidRPr="00C939E3">
              <w:rPr>
                <w:iCs/>
                <w:sz w:val="26"/>
                <w:szCs w:val="26"/>
                <w:lang w:eastAsia="lv-LV"/>
              </w:rPr>
              <w:t>1.</w:t>
            </w:r>
          </w:p>
        </w:tc>
        <w:tc>
          <w:tcPr>
            <w:tcW w:w="839" w:type="pct"/>
            <w:tcBorders>
              <w:top w:val="outset" w:sz="6" w:space="0" w:color="auto"/>
              <w:left w:val="outset" w:sz="6" w:space="0" w:color="auto"/>
              <w:bottom w:val="outset" w:sz="6" w:space="0" w:color="auto"/>
              <w:right w:val="outset" w:sz="6" w:space="0" w:color="auto"/>
            </w:tcBorders>
          </w:tcPr>
          <w:p w14:paraId="3AB2AEF1" w14:textId="77777777" w:rsidR="00040711" w:rsidRPr="00C939E3" w:rsidRDefault="00040711" w:rsidP="006237F0">
            <w:pPr>
              <w:spacing w:before="120"/>
              <w:rPr>
                <w:rFonts w:eastAsia="Arial Unicode MS"/>
              </w:rPr>
            </w:pPr>
            <w:r w:rsidRPr="00C939E3">
              <w:rPr>
                <w:rFonts w:eastAsia="Arial Unicode MS"/>
              </w:rPr>
              <w:t>Plānotās sabiedrības līdzdalības un komunikācijas aktivitātes saistībā ar projektu</w:t>
            </w:r>
          </w:p>
        </w:tc>
        <w:tc>
          <w:tcPr>
            <w:tcW w:w="3768" w:type="pct"/>
            <w:tcBorders>
              <w:top w:val="outset" w:sz="6" w:space="0" w:color="auto"/>
              <w:left w:val="outset" w:sz="6" w:space="0" w:color="auto"/>
              <w:bottom w:val="outset" w:sz="6" w:space="0" w:color="auto"/>
              <w:right w:val="outset" w:sz="6" w:space="0" w:color="auto"/>
            </w:tcBorders>
          </w:tcPr>
          <w:p w14:paraId="203687B0" w14:textId="61AF3761" w:rsidR="001677A3" w:rsidRPr="008D58DF" w:rsidRDefault="001677A3" w:rsidP="001677A3">
            <w:pPr>
              <w:tabs>
                <w:tab w:val="left" w:pos="2977"/>
              </w:tabs>
              <w:spacing w:before="120"/>
              <w:ind w:firstLine="336"/>
              <w:jc w:val="both"/>
              <w:rPr>
                <w:rFonts w:eastAsia="Arial Unicode MS"/>
                <w:lang w:eastAsia="lv-LV"/>
              </w:rPr>
            </w:pPr>
            <w:r>
              <w:rPr>
                <w:rFonts w:eastAsia="Arial Unicode MS"/>
                <w:lang w:eastAsia="lv-LV"/>
              </w:rPr>
              <w:t>Tiks veikta</w:t>
            </w:r>
            <w:r w:rsidRPr="00260EA3">
              <w:rPr>
                <w:rFonts w:eastAsia="Arial Unicode MS"/>
                <w:lang w:eastAsia="lv-LV"/>
              </w:rPr>
              <w:t xml:space="preserve"> noteikuma projekta </w:t>
            </w:r>
            <w:r>
              <w:rPr>
                <w:rFonts w:eastAsia="Arial Unicode MS"/>
                <w:lang w:eastAsia="lv-LV"/>
              </w:rPr>
              <w:t>30 dienu publiskā</w:t>
            </w:r>
            <w:r w:rsidRPr="00260EA3">
              <w:rPr>
                <w:rFonts w:eastAsia="Arial Unicode MS"/>
                <w:lang w:eastAsia="lv-LV"/>
              </w:rPr>
              <w:t xml:space="preserve"> apspriešana</w:t>
            </w:r>
            <w:r>
              <w:rPr>
                <w:rFonts w:eastAsia="Arial Unicode MS"/>
                <w:lang w:eastAsia="lv-LV"/>
              </w:rPr>
              <w:t xml:space="preserve">, publicējot tiesību akta projektu </w:t>
            </w:r>
            <w:hyperlink r:id="rId10" w:history="1">
              <w:r w:rsidRPr="00896834">
                <w:rPr>
                  <w:rStyle w:val="Hyperlink"/>
                  <w:iCs/>
                  <w:lang w:eastAsia="lv-LV"/>
                </w:rPr>
                <w:t>https://www.vm.gov.lv/lv/publiska-apspriesana-0</w:t>
              </w:r>
            </w:hyperlink>
            <w:r w:rsidR="0021759A">
              <w:rPr>
                <w:iCs/>
                <w:lang w:eastAsia="lv-LV"/>
              </w:rPr>
              <w:t>. Noteikumu projekts publiskai apspriešanai publicēts 09.02.2021.</w:t>
            </w:r>
          </w:p>
          <w:p w14:paraId="73EE27C4" w14:textId="2F13A891" w:rsidR="00071A7C" w:rsidRPr="00C939E3" w:rsidRDefault="00071A7C" w:rsidP="006237F0">
            <w:pPr>
              <w:spacing w:before="120"/>
              <w:jc w:val="both"/>
              <w:rPr>
                <w:iCs/>
                <w:sz w:val="26"/>
                <w:szCs w:val="26"/>
                <w:lang w:eastAsia="lv-LV"/>
              </w:rPr>
            </w:pPr>
          </w:p>
        </w:tc>
      </w:tr>
      <w:tr w:rsidR="00071A7C" w:rsidRPr="00C939E3" w14:paraId="258020CE" w14:textId="77777777" w:rsidTr="008014B6">
        <w:trPr>
          <w:trHeight w:val="277"/>
          <w:tblCellSpacing w:w="15" w:type="dxa"/>
        </w:trPr>
        <w:tc>
          <w:tcPr>
            <w:tcW w:w="330" w:type="pct"/>
            <w:tcBorders>
              <w:top w:val="outset" w:sz="6" w:space="0" w:color="auto"/>
              <w:left w:val="outset" w:sz="6" w:space="0" w:color="auto"/>
              <w:bottom w:val="outset" w:sz="6" w:space="0" w:color="auto"/>
              <w:right w:val="outset" w:sz="6" w:space="0" w:color="auto"/>
            </w:tcBorders>
          </w:tcPr>
          <w:p w14:paraId="3653FEAA" w14:textId="77777777" w:rsidR="00040711" w:rsidRPr="00C939E3" w:rsidRDefault="00040711" w:rsidP="006237F0">
            <w:pPr>
              <w:spacing w:before="120"/>
            </w:pPr>
            <w:r w:rsidRPr="00C939E3">
              <w:t>2.</w:t>
            </w:r>
          </w:p>
        </w:tc>
        <w:tc>
          <w:tcPr>
            <w:tcW w:w="839" w:type="pct"/>
            <w:tcBorders>
              <w:top w:val="outset" w:sz="6" w:space="0" w:color="auto"/>
              <w:left w:val="outset" w:sz="6" w:space="0" w:color="auto"/>
              <w:bottom w:val="outset" w:sz="6" w:space="0" w:color="auto"/>
              <w:right w:val="outset" w:sz="6" w:space="0" w:color="auto"/>
            </w:tcBorders>
          </w:tcPr>
          <w:p w14:paraId="4F5D9F37" w14:textId="77777777" w:rsidR="00040711" w:rsidRPr="00C939E3" w:rsidRDefault="00040711" w:rsidP="006237F0">
            <w:pPr>
              <w:spacing w:before="120"/>
            </w:pPr>
            <w:r w:rsidRPr="00C939E3">
              <w:t>Sabiedrības līdzdalība projekta izstrādē</w:t>
            </w:r>
          </w:p>
        </w:tc>
        <w:tc>
          <w:tcPr>
            <w:tcW w:w="3768" w:type="pct"/>
            <w:tcBorders>
              <w:top w:val="outset" w:sz="6" w:space="0" w:color="auto"/>
              <w:left w:val="outset" w:sz="6" w:space="0" w:color="auto"/>
              <w:bottom w:val="outset" w:sz="6" w:space="0" w:color="auto"/>
              <w:right w:val="outset" w:sz="6" w:space="0" w:color="auto"/>
            </w:tcBorders>
          </w:tcPr>
          <w:p w14:paraId="55B1EA8E" w14:textId="50B0951A" w:rsidR="00040711" w:rsidRPr="00C939E3" w:rsidRDefault="001677A3" w:rsidP="001677A3">
            <w:pPr>
              <w:spacing w:before="120"/>
              <w:ind w:firstLine="322"/>
              <w:jc w:val="both"/>
            </w:pPr>
            <w:r>
              <w:rPr>
                <w:lang w:eastAsia="lv-LV"/>
              </w:rPr>
              <w:t>Publiskā apspriešan</w:t>
            </w:r>
            <w:r w:rsidR="0021759A">
              <w:rPr>
                <w:lang w:eastAsia="lv-LV"/>
              </w:rPr>
              <w:t>a uzsākta 09.02.2021.</w:t>
            </w:r>
            <w:r>
              <w:rPr>
                <w:lang w:eastAsia="lv-LV"/>
              </w:rPr>
              <w:t xml:space="preserve"> </w:t>
            </w:r>
            <w:r w:rsidR="0021759A">
              <w:rPr>
                <w:lang w:eastAsia="lv-LV"/>
              </w:rPr>
              <w:t xml:space="preserve">un notiek </w:t>
            </w:r>
            <w:r>
              <w:rPr>
                <w:lang w:eastAsia="lv-LV"/>
              </w:rPr>
              <w:t xml:space="preserve">tiesību akta projekta </w:t>
            </w:r>
            <w:proofErr w:type="spellStart"/>
            <w:r>
              <w:rPr>
                <w:lang w:eastAsia="lv-LV"/>
              </w:rPr>
              <w:t>starpministriju</w:t>
            </w:r>
            <w:proofErr w:type="spellEnd"/>
            <w:r>
              <w:rPr>
                <w:lang w:eastAsia="lv-LV"/>
              </w:rPr>
              <w:t xml:space="preserve"> un starpinstitūciju saskaņošanas procesā.</w:t>
            </w:r>
          </w:p>
        </w:tc>
      </w:tr>
      <w:tr w:rsidR="00071A7C" w:rsidRPr="00C939E3" w14:paraId="4054A3C6" w14:textId="77777777" w:rsidTr="008014B6">
        <w:trPr>
          <w:trHeight w:val="277"/>
          <w:tblCellSpacing w:w="15" w:type="dxa"/>
        </w:trPr>
        <w:tc>
          <w:tcPr>
            <w:tcW w:w="330" w:type="pct"/>
            <w:tcBorders>
              <w:top w:val="outset" w:sz="6" w:space="0" w:color="auto"/>
              <w:left w:val="outset" w:sz="6" w:space="0" w:color="auto"/>
              <w:bottom w:val="outset" w:sz="6" w:space="0" w:color="auto"/>
              <w:right w:val="outset" w:sz="6" w:space="0" w:color="auto"/>
            </w:tcBorders>
          </w:tcPr>
          <w:p w14:paraId="3F7742CC" w14:textId="77777777" w:rsidR="00040711" w:rsidRPr="00C939E3" w:rsidRDefault="00040711" w:rsidP="006237F0">
            <w:pPr>
              <w:spacing w:before="120"/>
            </w:pPr>
            <w:r w:rsidRPr="00C939E3">
              <w:t>3.</w:t>
            </w:r>
          </w:p>
        </w:tc>
        <w:tc>
          <w:tcPr>
            <w:tcW w:w="839" w:type="pct"/>
            <w:tcBorders>
              <w:top w:val="outset" w:sz="6" w:space="0" w:color="auto"/>
              <w:left w:val="outset" w:sz="6" w:space="0" w:color="auto"/>
              <w:bottom w:val="outset" w:sz="6" w:space="0" w:color="auto"/>
              <w:right w:val="outset" w:sz="6" w:space="0" w:color="auto"/>
            </w:tcBorders>
          </w:tcPr>
          <w:p w14:paraId="5D4A5C48" w14:textId="77777777" w:rsidR="00040711" w:rsidRPr="00C939E3" w:rsidRDefault="00040711" w:rsidP="006237F0">
            <w:pPr>
              <w:spacing w:before="120"/>
            </w:pPr>
            <w:r w:rsidRPr="00C939E3">
              <w:t>Sabiedrības līdzdalības rezultāti</w:t>
            </w:r>
          </w:p>
        </w:tc>
        <w:tc>
          <w:tcPr>
            <w:tcW w:w="3768" w:type="pct"/>
            <w:tcBorders>
              <w:top w:val="outset" w:sz="6" w:space="0" w:color="auto"/>
              <w:left w:val="outset" w:sz="6" w:space="0" w:color="auto"/>
              <w:bottom w:val="outset" w:sz="6" w:space="0" w:color="auto"/>
              <w:right w:val="outset" w:sz="6" w:space="0" w:color="auto"/>
            </w:tcBorders>
          </w:tcPr>
          <w:p w14:paraId="08C31DA3" w14:textId="2154E502" w:rsidR="00040711" w:rsidRPr="00C939E3" w:rsidRDefault="001677A3" w:rsidP="006237F0">
            <w:pPr>
              <w:spacing w:before="120"/>
              <w:ind w:firstLine="12"/>
            </w:pPr>
            <w:r>
              <w:rPr>
                <w:lang w:eastAsia="lv-LV"/>
              </w:rPr>
              <w:t>S</w:t>
            </w:r>
            <w:r w:rsidRPr="00260EA3">
              <w:rPr>
                <w:lang w:eastAsia="lv-LV"/>
              </w:rPr>
              <w:t>aņemti</w:t>
            </w:r>
            <w:r>
              <w:rPr>
                <w:lang w:eastAsia="lv-LV"/>
              </w:rPr>
              <w:t>e</w:t>
            </w:r>
            <w:r w:rsidRPr="00260EA3">
              <w:rPr>
                <w:lang w:eastAsia="lv-LV"/>
              </w:rPr>
              <w:t xml:space="preserve"> iebildumi </w:t>
            </w:r>
            <w:r>
              <w:rPr>
                <w:lang w:eastAsia="lv-LV"/>
              </w:rPr>
              <w:t>tiks iekļauti izziņā par atzinumos sniegtajiem iebildumiem.</w:t>
            </w:r>
          </w:p>
        </w:tc>
      </w:tr>
      <w:tr w:rsidR="00071A7C" w:rsidRPr="00C939E3" w14:paraId="50B6990D" w14:textId="77777777" w:rsidTr="008014B6">
        <w:trPr>
          <w:trHeight w:val="277"/>
          <w:tblCellSpacing w:w="15" w:type="dxa"/>
        </w:trPr>
        <w:tc>
          <w:tcPr>
            <w:tcW w:w="330" w:type="pct"/>
            <w:tcBorders>
              <w:top w:val="outset" w:sz="6" w:space="0" w:color="auto"/>
              <w:left w:val="outset" w:sz="6" w:space="0" w:color="auto"/>
              <w:bottom w:val="outset" w:sz="6" w:space="0" w:color="auto"/>
              <w:right w:val="outset" w:sz="6" w:space="0" w:color="auto"/>
            </w:tcBorders>
          </w:tcPr>
          <w:p w14:paraId="0A1BA731" w14:textId="77777777" w:rsidR="00040711" w:rsidRPr="00C939E3" w:rsidRDefault="00040711" w:rsidP="006237F0">
            <w:pPr>
              <w:spacing w:before="120"/>
            </w:pPr>
            <w:r w:rsidRPr="00C939E3">
              <w:t>4.</w:t>
            </w:r>
          </w:p>
        </w:tc>
        <w:tc>
          <w:tcPr>
            <w:tcW w:w="839" w:type="pct"/>
            <w:tcBorders>
              <w:top w:val="outset" w:sz="6" w:space="0" w:color="auto"/>
              <w:left w:val="outset" w:sz="6" w:space="0" w:color="auto"/>
              <w:bottom w:val="outset" w:sz="6" w:space="0" w:color="auto"/>
              <w:right w:val="outset" w:sz="6" w:space="0" w:color="auto"/>
            </w:tcBorders>
          </w:tcPr>
          <w:p w14:paraId="61E9C87B" w14:textId="77777777" w:rsidR="00040711" w:rsidRPr="00C939E3" w:rsidRDefault="00040711" w:rsidP="006237F0">
            <w:pPr>
              <w:spacing w:before="120"/>
              <w:jc w:val="both"/>
            </w:pPr>
            <w:r w:rsidRPr="00C939E3">
              <w:t>Cita informācija</w:t>
            </w:r>
          </w:p>
        </w:tc>
        <w:tc>
          <w:tcPr>
            <w:tcW w:w="3768" w:type="pct"/>
            <w:tcBorders>
              <w:top w:val="outset" w:sz="6" w:space="0" w:color="auto"/>
              <w:left w:val="outset" w:sz="6" w:space="0" w:color="auto"/>
              <w:bottom w:val="outset" w:sz="6" w:space="0" w:color="auto"/>
              <w:right w:val="outset" w:sz="6" w:space="0" w:color="auto"/>
            </w:tcBorders>
          </w:tcPr>
          <w:p w14:paraId="60BD1409" w14:textId="16F23A7B" w:rsidR="00040711" w:rsidRPr="00C939E3" w:rsidRDefault="00040711" w:rsidP="006237F0">
            <w:pPr>
              <w:spacing w:before="120"/>
              <w:jc w:val="both"/>
            </w:pPr>
            <w:r w:rsidRPr="00C939E3">
              <w:t>Tiesību akta projekts nodrošina ātrāku un kvalitatīvāku SAM 9</w:t>
            </w:r>
            <w:r w:rsidR="008014B6">
              <w:t>.</w:t>
            </w:r>
            <w:r w:rsidRPr="00C939E3">
              <w:t>2</w:t>
            </w:r>
            <w:r w:rsidR="008014B6">
              <w:t>.</w:t>
            </w:r>
            <w:r w:rsidR="00BF054E" w:rsidRPr="00C939E3">
              <w:t>5</w:t>
            </w:r>
            <w:r w:rsidRPr="00C939E3">
              <w:t xml:space="preserve"> mērķu sasniegšanu un pakalpojumu pieejamību sabiedrības interesēs un tam nav ietekmes uz sabiedrības pienākumiem</w:t>
            </w:r>
            <w:r w:rsidR="001677A3">
              <w:t>.</w:t>
            </w:r>
          </w:p>
        </w:tc>
      </w:tr>
    </w:tbl>
    <w:p w14:paraId="64268481" w14:textId="77777777" w:rsidR="00513043" w:rsidRPr="00C939E3" w:rsidRDefault="00513043" w:rsidP="006237F0">
      <w:pPr>
        <w:spacing w:before="12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59"/>
        <w:gridCol w:w="3249"/>
        <w:gridCol w:w="5632"/>
      </w:tblGrid>
      <w:tr w:rsidR="004A282E" w:rsidRPr="00C939E3" w14:paraId="4C2170C2" w14:textId="77777777" w:rsidTr="008014B6">
        <w:trPr>
          <w:trHeight w:val="381"/>
        </w:trPr>
        <w:tc>
          <w:tcPr>
            <w:tcW w:w="9640" w:type="dxa"/>
            <w:gridSpan w:val="3"/>
            <w:vAlign w:val="center"/>
          </w:tcPr>
          <w:p w14:paraId="34B62E78" w14:textId="77777777" w:rsidR="003735C6" w:rsidRPr="00C939E3" w:rsidRDefault="003735C6" w:rsidP="006237F0">
            <w:pPr>
              <w:pStyle w:val="naisnod"/>
              <w:spacing w:before="120" w:beforeAutospacing="0" w:after="0" w:afterAutospacing="0"/>
              <w:ind w:left="57" w:right="57"/>
              <w:jc w:val="center"/>
              <w:rPr>
                <w:b/>
              </w:rPr>
            </w:pPr>
            <w:r w:rsidRPr="00C939E3">
              <w:rPr>
                <w:b/>
              </w:rPr>
              <w:t>VII</w:t>
            </w:r>
            <w:r w:rsidR="00D46E0B" w:rsidRPr="00C939E3">
              <w:rPr>
                <w:b/>
              </w:rPr>
              <w:t xml:space="preserve">. </w:t>
            </w:r>
            <w:r w:rsidRPr="00C939E3">
              <w:rPr>
                <w:b/>
              </w:rPr>
              <w:t>Tiesību akta projekta izpildes nodrošināšana un tās ietekme uz institūcijām</w:t>
            </w:r>
          </w:p>
        </w:tc>
      </w:tr>
      <w:tr w:rsidR="004A282E" w:rsidRPr="00C939E3" w14:paraId="1C854DF5" w14:textId="77777777" w:rsidTr="008014B6">
        <w:trPr>
          <w:trHeight w:val="427"/>
        </w:trPr>
        <w:tc>
          <w:tcPr>
            <w:tcW w:w="759" w:type="dxa"/>
          </w:tcPr>
          <w:p w14:paraId="39EFA109" w14:textId="77777777" w:rsidR="00D3577B" w:rsidRPr="00C939E3" w:rsidRDefault="00D3577B" w:rsidP="006237F0">
            <w:pPr>
              <w:pStyle w:val="naisnod"/>
              <w:spacing w:before="120" w:beforeAutospacing="0" w:after="0" w:afterAutospacing="0"/>
              <w:ind w:left="57" w:right="57"/>
              <w:jc w:val="both"/>
            </w:pPr>
            <w:r w:rsidRPr="00C939E3">
              <w:t xml:space="preserve">1. </w:t>
            </w:r>
          </w:p>
        </w:tc>
        <w:tc>
          <w:tcPr>
            <w:tcW w:w="3249" w:type="dxa"/>
          </w:tcPr>
          <w:p w14:paraId="3901B8F3" w14:textId="77777777" w:rsidR="00D3577B" w:rsidRPr="00C939E3" w:rsidRDefault="00D3577B" w:rsidP="006237F0">
            <w:pPr>
              <w:pStyle w:val="naisf"/>
              <w:spacing w:before="120" w:beforeAutospacing="0" w:after="0" w:afterAutospacing="0"/>
              <w:ind w:left="57" w:right="57"/>
              <w:rPr>
                <w:lang w:val="lv-LV"/>
              </w:rPr>
            </w:pPr>
            <w:r w:rsidRPr="00C939E3">
              <w:rPr>
                <w:lang w:val="lv-LV"/>
              </w:rPr>
              <w:t>Projekta izpildē iesaistītās institūcijas</w:t>
            </w:r>
          </w:p>
        </w:tc>
        <w:tc>
          <w:tcPr>
            <w:tcW w:w="5632" w:type="dxa"/>
          </w:tcPr>
          <w:p w14:paraId="12212496" w14:textId="7ECB6A49" w:rsidR="00D3577B" w:rsidRPr="00C939E3" w:rsidRDefault="00796EF8" w:rsidP="006237F0">
            <w:pPr>
              <w:pStyle w:val="naiskr"/>
              <w:spacing w:before="120" w:beforeAutospacing="0" w:after="0" w:afterAutospacing="0"/>
              <w:ind w:left="57" w:right="57" w:firstLine="284"/>
              <w:jc w:val="both"/>
            </w:pPr>
            <w:bookmarkStart w:id="12" w:name="p66"/>
            <w:bookmarkStart w:id="13" w:name="p67"/>
            <w:bookmarkStart w:id="14" w:name="p68"/>
            <w:bookmarkStart w:id="15" w:name="p69"/>
            <w:bookmarkEnd w:id="12"/>
            <w:bookmarkEnd w:id="13"/>
            <w:bookmarkEnd w:id="14"/>
            <w:bookmarkEnd w:id="15"/>
            <w:r w:rsidRPr="00C939E3">
              <w:rPr>
                <w:szCs w:val="28"/>
              </w:rPr>
              <w:t>Atbildīgās</w:t>
            </w:r>
            <w:r w:rsidRPr="00C939E3">
              <w:t xml:space="preserve"> iestādes funkcijas pilda Veselības ministrija, sadarbības iestādes funkcijas – Centrālā finanšu un līgumu aģentūra. Projekta iesniedzējs un finansējuma saņēmējs ir Veselības </w:t>
            </w:r>
            <w:r w:rsidR="00F619C8" w:rsidRPr="00C939E3">
              <w:t>ministrija</w:t>
            </w:r>
          </w:p>
        </w:tc>
      </w:tr>
      <w:tr w:rsidR="004A282E" w:rsidRPr="00C939E3" w14:paraId="2FA5F8A1" w14:textId="77777777" w:rsidTr="008014B6">
        <w:trPr>
          <w:trHeight w:val="463"/>
        </w:trPr>
        <w:tc>
          <w:tcPr>
            <w:tcW w:w="759" w:type="dxa"/>
          </w:tcPr>
          <w:p w14:paraId="410C8413" w14:textId="77777777" w:rsidR="00D3577B" w:rsidRPr="00C939E3" w:rsidRDefault="00D3577B" w:rsidP="006237F0">
            <w:pPr>
              <w:pStyle w:val="naisnod"/>
              <w:spacing w:before="120" w:beforeAutospacing="0" w:after="0" w:afterAutospacing="0"/>
              <w:ind w:left="57" w:right="57"/>
              <w:jc w:val="both"/>
            </w:pPr>
            <w:r w:rsidRPr="00C939E3">
              <w:t xml:space="preserve">2. </w:t>
            </w:r>
          </w:p>
        </w:tc>
        <w:tc>
          <w:tcPr>
            <w:tcW w:w="3249" w:type="dxa"/>
          </w:tcPr>
          <w:p w14:paraId="18339F1A" w14:textId="77777777" w:rsidR="00D3577B" w:rsidRPr="00C939E3" w:rsidRDefault="00D3577B" w:rsidP="006237F0">
            <w:pPr>
              <w:pStyle w:val="naisf"/>
              <w:spacing w:before="120" w:beforeAutospacing="0" w:after="0" w:afterAutospacing="0"/>
              <w:ind w:left="57" w:right="57"/>
              <w:rPr>
                <w:lang w:val="lv-LV"/>
              </w:rPr>
            </w:pPr>
            <w:r w:rsidRPr="00C939E3">
              <w:rPr>
                <w:lang w:val="lv-LV"/>
              </w:rPr>
              <w:t>Projekta izpildes ietekme uz pār</w:t>
            </w:r>
            <w:r w:rsidRPr="00C939E3">
              <w:rPr>
                <w:lang w:val="lv-LV"/>
              </w:rPr>
              <w:softHyphen/>
              <w:t xml:space="preserve">valdes funkcijām un institucionālo struktūru. </w:t>
            </w:r>
          </w:p>
          <w:p w14:paraId="0F6B65E4" w14:textId="77777777" w:rsidR="00D3577B" w:rsidRPr="00C939E3" w:rsidRDefault="00D3577B" w:rsidP="006237F0">
            <w:pPr>
              <w:pStyle w:val="naisf"/>
              <w:spacing w:before="120" w:beforeAutospacing="0" w:after="0" w:afterAutospacing="0"/>
              <w:ind w:left="57" w:right="57"/>
              <w:rPr>
                <w:lang w:val="lv-LV"/>
              </w:rPr>
            </w:pPr>
            <w:r w:rsidRPr="00C939E3">
              <w:rPr>
                <w:lang w:val="lv-LV"/>
              </w:rPr>
              <w:t>Jaunu institūciju izveide, esošu institūciju likvidācija vai reorga</w:t>
            </w:r>
            <w:r w:rsidRPr="00C939E3">
              <w:rPr>
                <w:lang w:val="lv-LV"/>
              </w:rPr>
              <w:softHyphen/>
              <w:t>nizācija, to ietekme uz institūcijas cilvēkresursiem</w:t>
            </w:r>
          </w:p>
        </w:tc>
        <w:tc>
          <w:tcPr>
            <w:tcW w:w="5632" w:type="dxa"/>
          </w:tcPr>
          <w:p w14:paraId="26308D35" w14:textId="48D4826B" w:rsidR="00D3577B" w:rsidRPr="00C939E3" w:rsidRDefault="00D3577B" w:rsidP="006237F0">
            <w:pPr>
              <w:pStyle w:val="naiskr"/>
              <w:spacing w:before="120" w:beforeAutospacing="0" w:after="0" w:afterAutospacing="0"/>
              <w:ind w:left="57" w:right="57" w:firstLine="284"/>
              <w:jc w:val="both"/>
            </w:pPr>
            <w:r w:rsidRPr="00C939E3">
              <w:t>Ar noteikumu projektu noteiktie institūciju pienākumi tiks veikti esošo finanšu un darbinieku kapacitātes ietvaros, nepalielinot kopējās izmaksas.</w:t>
            </w:r>
          </w:p>
        </w:tc>
      </w:tr>
      <w:tr w:rsidR="004A282E" w:rsidRPr="00C939E3" w14:paraId="2B6296E9" w14:textId="77777777" w:rsidTr="008014B6">
        <w:trPr>
          <w:trHeight w:val="402"/>
        </w:trPr>
        <w:tc>
          <w:tcPr>
            <w:tcW w:w="759" w:type="dxa"/>
            <w:tcBorders>
              <w:top w:val="single" w:sz="4" w:space="0" w:color="auto"/>
              <w:left w:val="single" w:sz="4" w:space="0" w:color="auto"/>
              <w:bottom w:val="single" w:sz="4" w:space="0" w:color="auto"/>
              <w:right w:val="single" w:sz="4" w:space="0" w:color="auto"/>
            </w:tcBorders>
          </w:tcPr>
          <w:p w14:paraId="0D40122E" w14:textId="77777777" w:rsidR="003735C6" w:rsidRPr="00C939E3" w:rsidRDefault="003735C6" w:rsidP="006237F0">
            <w:pPr>
              <w:pStyle w:val="naisnod"/>
              <w:spacing w:before="120" w:beforeAutospacing="0" w:after="0" w:afterAutospacing="0"/>
              <w:ind w:left="57" w:right="57"/>
              <w:jc w:val="both"/>
            </w:pPr>
            <w:r w:rsidRPr="00C939E3">
              <w:t>3</w:t>
            </w:r>
            <w:r w:rsidR="00D46E0B" w:rsidRPr="00C939E3">
              <w:t xml:space="preserve">. </w:t>
            </w:r>
          </w:p>
        </w:tc>
        <w:tc>
          <w:tcPr>
            <w:tcW w:w="3249" w:type="dxa"/>
            <w:tcBorders>
              <w:top w:val="single" w:sz="4" w:space="0" w:color="auto"/>
              <w:left w:val="single" w:sz="4" w:space="0" w:color="auto"/>
              <w:bottom w:val="single" w:sz="4" w:space="0" w:color="auto"/>
              <w:right w:val="single" w:sz="4" w:space="0" w:color="auto"/>
            </w:tcBorders>
          </w:tcPr>
          <w:p w14:paraId="6E063272" w14:textId="77777777" w:rsidR="003735C6" w:rsidRPr="00C939E3" w:rsidRDefault="003735C6" w:rsidP="006237F0">
            <w:pPr>
              <w:pStyle w:val="naisf"/>
              <w:spacing w:before="120" w:beforeAutospacing="0" w:after="0" w:afterAutospacing="0"/>
              <w:ind w:left="57" w:right="57"/>
              <w:rPr>
                <w:lang w:val="lv-LV"/>
              </w:rPr>
            </w:pPr>
            <w:r w:rsidRPr="00C939E3">
              <w:rPr>
                <w:lang w:val="lv-LV"/>
              </w:rPr>
              <w:t>Cita informācija</w:t>
            </w:r>
          </w:p>
        </w:tc>
        <w:tc>
          <w:tcPr>
            <w:tcW w:w="5632" w:type="dxa"/>
            <w:tcBorders>
              <w:top w:val="single" w:sz="4" w:space="0" w:color="auto"/>
              <w:left w:val="single" w:sz="4" w:space="0" w:color="auto"/>
              <w:bottom w:val="single" w:sz="4" w:space="0" w:color="auto"/>
              <w:right w:val="single" w:sz="4" w:space="0" w:color="auto"/>
            </w:tcBorders>
          </w:tcPr>
          <w:p w14:paraId="7ECA210B" w14:textId="5A3D5082" w:rsidR="003735C6" w:rsidRPr="00C939E3" w:rsidRDefault="003735C6" w:rsidP="006237F0">
            <w:pPr>
              <w:pStyle w:val="naiskr"/>
              <w:spacing w:before="120" w:beforeAutospacing="0" w:after="0" w:afterAutospacing="0"/>
              <w:ind w:left="57" w:right="57" w:firstLine="284"/>
              <w:jc w:val="both"/>
            </w:pPr>
            <w:r w:rsidRPr="00C939E3">
              <w:t>Nav</w:t>
            </w:r>
            <w:r w:rsidR="00D46E0B" w:rsidRPr="00C939E3">
              <w:t>.</w:t>
            </w:r>
          </w:p>
        </w:tc>
      </w:tr>
    </w:tbl>
    <w:p w14:paraId="0044427D" w14:textId="77777777" w:rsidR="00513043" w:rsidRPr="00C939E3" w:rsidRDefault="00513043" w:rsidP="0021759A">
      <w:pPr>
        <w:spacing w:before="120"/>
      </w:pPr>
    </w:p>
    <w:p w14:paraId="00DEB87A" w14:textId="77777777" w:rsidR="00A310A5" w:rsidRPr="00C939E3" w:rsidRDefault="00A310A5" w:rsidP="0021759A">
      <w:pPr>
        <w:tabs>
          <w:tab w:val="right" w:pos="9072"/>
        </w:tabs>
        <w:spacing w:before="120"/>
        <w:ind w:right="-1"/>
        <w:rPr>
          <w:rFonts w:eastAsia="Calibri"/>
          <w:sz w:val="28"/>
          <w:szCs w:val="28"/>
        </w:rPr>
      </w:pPr>
    </w:p>
    <w:p w14:paraId="46F21691" w14:textId="1264F257" w:rsidR="00774B35" w:rsidRPr="00C939E3" w:rsidRDefault="00774B35" w:rsidP="0021759A">
      <w:pPr>
        <w:tabs>
          <w:tab w:val="right" w:pos="9356"/>
        </w:tabs>
        <w:spacing w:before="120"/>
        <w:ind w:right="49"/>
        <w:rPr>
          <w:rFonts w:eastAsia="Calibri"/>
          <w:sz w:val="28"/>
          <w:szCs w:val="28"/>
        </w:rPr>
      </w:pPr>
      <w:r w:rsidRPr="00C939E3">
        <w:rPr>
          <w:rFonts w:eastAsia="Calibri"/>
          <w:sz w:val="28"/>
          <w:szCs w:val="28"/>
        </w:rPr>
        <w:t>Veselības ministr</w:t>
      </w:r>
      <w:r w:rsidR="00901E21">
        <w:rPr>
          <w:rFonts w:eastAsia="Calibri"/>
          <w:sz w:val="28"/>
          <w:szCs w:val="28"/>
        </w:rPr>
        <w:t>s</w:t>
      </w:r>
      <w:r w:rsidRPr="00C939E3">
        <w:rPr>
          <w:rFonts w:eastAsia="Calibri"/>
          <w:sz w:val="28"/>
          <w:szCs w:val="28"/>
        </w:rPr>
        <w:tab/>
        <w:t xml:space="preserve"> </w:t>
      </w:r>
      <w:proofErr w:type="spellStart"/>
      <w:r w:rsidR="00901E21">
        <w:rPr>
          <w:sz w:val="28"/>
          <w:szCs w:val="28"/>
        </w:rPr>
        <w:t>D.Pavļuts</w:t>
      </w:r>
      <w:proofErr w:type="spellEnd"/>
    </w:p>
    <w:p w14:paraId="12F736CA" w14:textId="77777777" w:rsidR="00774B35" w:rsidRPr="00C939E3" w:rsidRDefault="00774B35" w:rsidP="0021759A">
      <w:pPr>
        <w:tabs>
          <w:tab w:val="right" w:pos="9356"/>
        </w:tabs>
        <w:spacing w:before="120"/>
        <w:ind w:right="49"/>
        <w:rPr>
          <w:rFonts w:eastAsia="Calibri"/>
          <w:sz w:val="28"/>
          <w:szCs w:val="28"/>
        </w:rPr>
      </w:pPr>
    </w:p>
    <w:p w14:paraId="30FDAB3E" w14:textId="27A261B4" w:rsidR="00774B35" w:rsidRPr="00C939E3" w:rsidRDefault="00774B35" w:rsidP="0021759A">
      <w:pPr>
        <w:tabs>
          <w:tab w:val="right" w:pos="9356"/>
        </w:tabs>
        <w:spacing w:before="120"/>
        <w:ind w:right="49"/>
        <w:rPr>
          <w:rFonts w:eastAsia="Calibri"/>
          <w:sz w:val="28"/>
          <w:szCs w:val="28"/>
        </w:rPr>
      </w:pPr>
      <w:r w:rsidRPr="00C939E3">
        <w:rPr>
          <w:rFonts w:eastAsia="Calibri"/>
          <w:sz w:val="28"/>
          <w:szCs w:val="28"/>
        </w:rPr>
        <w:lastRenderedPageBreak/>
        <w:t>Vīza: Valsts sekretāre</w:t>
      </w:r>
      <w:r w:rsidRPr="00C939E3">
        <w:rPr>
          <w:rFonts w:eastAsia="Calibri"/>
          <w:sz w:val="28"/>
          <w:szCs w:val="28"/>
        </w:rPr>
        <w:tab/>
      </w:r>
      <w:proofErr w:type="spellStart"/>
      <w:r w:rsidR="00BF2066" w:rsidRPr="00C939E3">
        <w:rPr>
          <w:rFonts w:eastAsia="Calibri"/>
          <w:sz w:val="28"/>
          <w:szCs w:val="28"/>
        </w:rPr>
        <w:t>D.</w:t>
      </w:r>
      <w:r w:rsidRPr="00C939E3">
        <w:rPr>
          <w:rFonts w:eastAsia="Calibri"/>
          <w:sz w:val="28"/>
          <w:szCs w:val="28"/>
        </w:rPr>
        <w:t>Mūrmane</w:t>
      </w:r>
      <w:proofErr w:type="spellEnd"/>
      <w:r w:rsidRPr="00C939E3">
        <w:rPr>
          <w:rFonts w:eastAsia="Calibri"/>
          <w:sz w:val="28"/>
          <w:szCs w:val="28"/>
        </w:rPr>
        <w:t xml:space="preserve"> - </w:t>
      </w:r>
      <w:proofErr w:type="spellStart"/>
      <w:r w:rsidRPr="00C939E3">
        <w:rPr>
          <w:rFonts w:eastAsia="Calibri"/>
          <w:sz w:val="28"/>
          <w:szCs w:val="28"/>
        </w:rPr>
        <w:t>Umbraško</w:t>
      </w:r>
      <w:proofErr w:type="spellEnd"/>
    </w:p>
    <w:p w14:paraId="0553EA55" w14:textId="45A090E2" w:rsidR="00167576" w:rsidRDefault="00167576" w:rsidP="0021759A">
      <w:pPr>
        <w:spacing w:before="120"/>
        <w:jc w:val="both"/>
      </w:pPr>
    </w:p>
    <w:p w14:paraId="3BE312A8" w14:textId="77777777" w:rsidR="0021759A" w:rsidRPr="00C939E3" w:rsidRDefault="0021759A" w:rsidP="0021759A">
      <w:pPr>
        <w:spacing w:before="120"/>
        <w:jc w:val="both"/>
      </w:pPr>
    </w:p>
    <w:p w14:paraId="41661309" w14:textId="056A6C8F" w:rsidR="00BF054E" w:rsidRPr="00C939E3" w:rsidRDefault="00901E21" w:rsidP="0021759A">
      <w:pPr>
        <w:spacing w:before="120"/>
        <w:jc w:val="both"/>
        <w:rPr>
          <w:sz w:val="20"/>
          <w:szCs w:val="20"/>
        </w:rPr>
      </w:pPr>
      <w:r>
        <w:rPr>
          <w:sz w:val="20"/>
          <w:szCs w:val="20"/>
        </w:rPr>
        <w:t>Žurovska</w:t>
      </w:r>
      <w:r w:rsidR="00BF054E" w:rsidRPr="00C939E3">
        <w:rPr>
          <w:sz w:val="20"/>
          <w:szCs w:val="20"/>
        </w:rPr>
        <w:t>, 67876</w:t>
      </w:r>
      <w:r>
        <w:rPr>
          <w:sz w:val="20"/>
          <w:szCs w:val="20"/>
        </w:rPr>
        <w:t>012</w:t>
      </w:r>
    </w:p>
    <w:p w14:paraId="7060D877" w14:textId="1F7CC434" w:rsidR="00E516B6" w:rsidRPr="00C939E3" w:rsidRDefault="00901E21" w:rsidP="0021759A">
      <w:pPr>
        <w:spacing w:before="120"/>
        <w:jc w:val="both"/>
        <w:rPr>
          <w:sz w:val="20"/>
          <w:szCs w:val="20"/>
        </w:rPr>
      </w:pPr>
      <w:r>
        <w:rPr>
          <w:sz w:val="20"/>
          <w:szCs w:val="20"/>
        </w:rPr>
        <w:t>Liga</w:t>
      </w:r>
      <w:r w:rsidR="00774B35" w:rsidRPr="00C939E3">
        <w:rPr>
          <w:sz w:val="20"/>
          <w:szCs w:val="20"/>
        </w:rPr>
        <w:t>.</w:t>
      </w:r>
      <w:r>
        <w:rPr>
          <w:sz w:val="20"/>
          <w:szCs w:val="20"/>
        </w:rPr>
        <w:t>Zurovska</w:t>
      </w:r>
      <w:r w:rsidR="00BF054E" w:rsidRPr="00C939E3">
        <w:rPr>
          <w:sz w:val="20"/>
          <w:szCs w:val="20"/>
        </w:rPr>
        <w:t>@vm.gov.lv</w:t>
      </w:r>
    </w:p>
    <w:sectPr w:rsidR="00E516B6" w:rsidRPr="00C939E3" w:rsidSect="003947C1">
      <w:headerReference w:type="even" r:id="rId11"/>
      <w:headerReference w:type="default" r:id="rId12"/>
      <w:footerReference w:type="default" r:id="rId13"/>
      <w:footerReference w:type="first" r:id="rId14"/>
      <w:pgSz w:w="11906" w:h="16838" w:code="9"/>
      <w:pgMar w:top="1418" w:right="1134" w:bottom="1134" w:left="1701" w:header="720"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766DE" w14:textId="4471572D" w:rsidR="000B1B33" w:rsidRDefault="000B1B33">
      <w:r>
        <w:separator/>
      </w:r>
    </w:p>
  </w:endnote>
  <w:endnote w:type="continuationSeparator" w:id="0">
    <w:p w14:paraId="5BEFEE96" w14:textId="5B7565AD" w:rsidR="000B1B33" w:rsidRDefault="000B1B33">
      <w:r>
        <w:continuationSeparator/>
      </w:r>
    </w:p>
  </w:endnote>
  <w:endnote w:type="continuationNotice" w:id="1">
    <w:p w14:paraId="1A4DE73E" w14:textId="7B41F67F" w:rsidR="000B1B33" w:rsidRDefault="000B1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2EB2" w14:textId="2750419F" w:rsidR="000B1B33" w:rsidRPr="0068261C" w:rsidRDefault="000B1B33" w:rsidP="0068261C">
    <w:pPr>
      <w:tabs>
        <w:tab w:val="center" w:pos="4153"/>
        <w:tab w:val="right" w:pos="8306"/>
      </w:tabs>
      <w:jc w:val="both"/>
      <w:rPr>
        <w:sz w:val="20"/>
        <w:szCs w:val="20"/>
        <w:lang w:eastAsia="lv-LV"/>
      </w:rPr>
    </w:pPr>
    <w:r w:rsidRPr="000F65F0">
      <w:rPr>
        <w:sz w:val="20"/>
        <w:szCs w:val="20"/>
        <w:lang w:eastAsia="lv-LV"/>
      </w:rPr>
      <w:t>VManot_</w:t>
    </w:r>
    <w:r w:rsidR="0021759A">
      <w:rPr>
        <w:sz w:val="20"/>
        <w:szCs w:val="20"/>
        <w:lang w:eastAsia="lv-LV"/>
      </w:rPr>
      <w:t>08</w:t>
    </w:r>
    <w:r>
      <w:rPr>
        <w:sz w:val="20"/>
        <w:szCs w:val="20"/>
        <w:lang w:eastAsia="lv-LV"/>
      </w:rPr>
      <w:t>0</w:t>
    </w:r>
    <w:r w:rsidR="0021759A">
      <w:rPr>
        <w:sz w:val="20"/>
        <w:szCs w:val="20"/>
        <w:lang w:eastAsia="lv-LV"/>
      </w:rPr>
      <w:t>2</w:t>
    </w:r>
    <w:r>
      <w:rPr>
        <w:sz w:val="20"/>
        <w:szCs w:val="20"/>
        <w:lang w:eastAsia="lv-LV"/>
      </w:rPr>
      <w:t>21</w:t>
    </w:r>
    <w:r w:rsidRPr="000F65F0">
      <w:rPr>
        <w:sz w:val="20"/>
        <w:szCs w:val="20"/>
        <w:lang w:eastAsia="lv-LV"/>
      </w:rPr>
      <w:t>_SAM</w:t>
    </w:r>
    <w:r>
      <w:rPr>
        <w:sz w:val="20"/>
        <w:szCs w:val="20"/>
        <w:lang w:eastAsia="lv-LV"/>
      </w:rPr>
      <w:t>925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3BFD" w14:textId="6751971C" w:rsidR="000B1B33" w:rsidRPr="00A94F44" w:rsidRDefault="000B1B33" w:rsidP="00A94F44">
    <w:pPr>
      <w:tabs>
        <w:tab w:val="center" w:pos="4153"/>
        <w:tab w:val="right" w:pos="8306"/>
      </w:tabs>
      <w:jc w:val="both"/>
      <w:rPr>
        <w:sz w:val="20"/>
        <w:szCs w:val="20"/>
        <w:lang w:eastAsia="lv-LV"/>
      </w:rPr>
    </w:pPr>
    <w:r w:rsidRPr="005755A2">
      <w:rPr>
        <w:sz w:val="20"/>
        <w:szCs w:val="20"/>
        <w:lang w:eastAsia="lv-LV"/>
      </w:rPr>
      <w:t>VManot_</w:t>
    </w:r>
    <w:r>
      <w:rPr>
        <w:sz w:val="20"/>
        <w:szCs w:val="20"/>
        <w:lang w:eastAsia="lv-LV"/>
      </w:rPr>
      <w:t>251115_SAM924</w:t>
    </w:r>
    <w:r w:rsidRPr="005755A2">
      <w:rPr>
        <w:sz w:val="20"/>
        <w:szCs w:val="20"/>
        <w:lang w:eastAsia="lv-LV"/>
      </w:rPr>
      <w:t xml:space="preserve">; </w:t>
    </w:r>
    <w:r w:rsidRPr="007912F8">
      <w:rPr>
        <w:sz w:val="20"/>
        <w:szCs w:val="20"/>
        <w:lang w:eastAsia="lv-LV"/>
      </w:rPr>
      <w:t>Ministru kabineta noteikumu projekta „Darbības programmas "Izaugsme un nodarbinātība" 9</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4</w:t>
    </w:r>
    <w:r>
      <w:rPr>
        <w:sz w:val="20"/>
        <w:szCs w:val="20"/>
        <w:lang w:eastAsia="lv-LV"/>
      </w:rPr>
      <w:t xml:space="preserve">. </w:t>
    </w:r>
    <w:r w:rsidRPr="007912F8">
      <w:rPr>
        <w:sz w:val="20"/>
        <w:szCs w:val="20"/>
        <w:lang w:eastAsia="lv-LV"/>
      </w:rPr>
      <w:t>specifiskā atbalsta mērķa "Uzlabot pieejamību veselības veicināšanas un slimību profilakses pakalpojumiem, jo īpaši, nabadzības un sociālās atstumtības riskam pakļautajiem iedzīvotājiem" 9</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4</w:t>
    </w:r>
    <w:r>
      <w:rPr>
        <w:sz w:val="20"/>
        <w:szCs w:val="20"/>
        <w:lang w:eastAsia="lv-LV"/>
      </w:rPr>
      <w:t xml:space="preserve">. </w:t>
    </w:r>
    <w:r w:rsidRPr="007912F8">
      <w:rPr>
        <w:sz w:val="20"/>
        <w:szCs w:val="20"/>
        <w:lang w:eastAsia="lv-LV"/>
      </w:rPr>
      <w:t>1</w:t>
    </w:r>
    <w:r>
      <w:rPr>
        <w:sz w:val="20"/>
        <w:szCs w:val="20"/>
        <w:lang w:eastAsia="lv-LV"/>
      </w:rPr>
      <w:t xml:space="preserve">. </w:t>
    </w:r>
    <w:r w:rsidRPr="007912F8">
      <w:rPr>
        <w:sz w:val="20"/>
        <w:szCs w:val="20"/>
        <w:lang w:eastAsia="lv-LV"/>
      </w:rPr>
      <w:t>pasākuma „Kompleksi veselības veicināšanas un slimību profilakses pasākumi” un 9</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4</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pasākuma „Pasākumi vietējās sabiedrības veselības veicināšanai un slimību profilaksei” īstenošanas noteikumi” 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3D616" w14:textId="77777777" w:rsidR="000B1B33" w:rsidRDefault="000B1B33">
      <w:r>
        <w:separator/>
      </w:r>
    </w:p>
  </w:footnote>
  <w:footnote w:type="continuationSeparator" w:id="0">
    <w:p w14:paraId="6BC19DBF" w14:textId="51E1D53D" w:rsidR="000B1B33" w:rsidRDefault="000B1B33">
      <w:r>
        <w:continuationSeparator/>
      </w:r>
    </w:p>
  </w:footnote>
  <w:footnote w:type="continuationNotice" w:id="1">
    <w:p w14:paraId="560B97B4" w14:textId="46A23F1E" w:rsidR="000B1B33" w:rsidRDefault="000B1B33"/>
  </w:footnote>
  <w:footnote w:id="2">
    <w:p w14:paraId="62502BB3" w14:textId="1797FD46" w:rsidR="000B1B33" w:rsidRDefault="000B1B33">
      <w:pPr>
        <w:pStyle w:val="FootnoteText"/>
      </w:pPr>
      <w:r>
        <w:rPr>
          <w:rStyle w:val="FootnoteReference"/>
        </w:rPr>
        <w:footnoteRef/>
      </w:r>
      <w:r>
        <w:t xml:space="preserve"> </w:t>
      </w:r>
      <w:hyperlink r:id="rId1" w:history="1">
        <w:r w:rsidRPr="00896834">
          <w:rPr>
            <w:rStyle w:val="Hyperlink"/>
          </w:rPr>
          <w:t>https://eur-lex.europa.eu/legal-content/LV/TXT/PDF/?uri=CELEX:52020DC0500&amp;from=EN</w:t>
        </w:r>
      </w:hyperlink>
    </w:p>
  </w:footnote>
  <w:footnote w:id="3">
    <w:p w14:paraId="37CB84C0" w14:textId="3CDC22E6" w:rsidR="000B1B33" w:rsidRDefault="000B1B33">
      <w:pPr>
        <w:pStyle w:val="FootnoteText"/>
      </w:pPr>
      <w:r>
        <w:rPr>
          <w:rStyle w:val="FootnoteReference"/>
        </w:rPr>
        <w:footnoteRef/>
      </w:r>
      <w:r>
        <w:t xml:space="preserve"> </w:t>
      </w:r>
      <w:hyperlink r:id="rId2" w:history="1">
        <w:r w:rsidRPr="00896834">
          <w:rPr>
            <w:rStyle w:val="Hyperlink"/>
          </w:rPr>
          <w:t>https://eur-lex.europa.eu/legal-content/LV/TXT/PDF/?uri=CELEX:52020DC0514&amp;from=EN</w:t>
        </w:r>
      </w:hyperlink>
    </w:p>
  </w:footnote>
  <w:footnote w:id="4">
    <w:p w14:paraId="4AE10047" w14:textId="42F5B08D" w:rsidR="000B1B33" w:rsidRDefault="000B1B33">
      <w:pPr>
        <w:pStyle w:val="FootnoteText"/>
      </w:pPr>
      <w:r>
        <w:rPr>
          <w:rStyle w:val="FootnoteReference"/>
        </w:rPr>
        <w:footnoteRef/>
      </w:r>
      <w:hyperlink r:id="rId3" w:history="1">
        <w:r w:rsidRPr="00896834">
          <w:rPr>
            <w:rStyle w:val="Hyperlink"/>
          </w:rPr>
          <w:t>https://www.lrvk.gov.lv/lv/revizijas/revizijas/noslegtas-revizijas/cilvekresursi-veselibas-aprupe</w:t>
        </w:r>
      </w:hyperlink>
    </w:p>
  </w:footnote>
  <w:footnote w:id="5">
    <w:p w14:paraId="6729DB4E" w14:textId="43B8E71C" w:rsidR="000B1B33" w:rsidRDefault="000B1B33" w:rsidP="000B1B33">
      <w:pPr>
        <w:pStyle w:val="FootnoteText"/>
        <w:rPr>
          <w:sz w:val="16"/>
          <w:szCs w:val="16"/>
        </w:rPr>
      </w:pPr>
      <w:r>
        <w:rPr>
          <w:sz w:val="16"/>
          <w:szCs w:val="16"/>
        </w:rPr>
        <w:footnoteRef/>
      </w:r>
      <w:r>
        <w:rPr>
          <w:sz w:val="16"/>
          <w:szCs w:val="16"/>
        </w:rPr>
        <w:t xml:space="preserve"> MK 07.08.2017. rīkojums Nr.394 “Par konceptuālo ziņojumu "Par veselības aprūpes sistēmas reformu"</w:t>
      </w:r>
    </w:p>
  </w:footnote>
  <w:footnote w:id="6">
    <w:p w14:paraId="17309446" w14:textId="2E700744" w:rsidR="002D49FB" w:rsidRDefault="002D49FB">
      <w:pPr>
        <w:pStyle w:val="FootnoteText"/>
      </w:pPr>
      <w:r>
        <w:rPr>
          <w:rStyle w:val="FootnoteReference"/>
        </w:rPr>
        <w:footnoteRef/>
      </w:r>
      <w:r>
        <w:t xml:space="preserve"> </w:t>
      </w:r>
      <w:hyperlink r:id="rId4" w:history="1">
        <w:r w:rsidRPr="00896834">
          <w:rPr>
            <w:rStyle w:val="Hyperlink"/>
          </w:rPr>
          <w:t>https://www.lrvk.gov.lv/lv/revizijas/revizijas/noslegtas-revizijas/</w:t>
        </w:r>
        <w:r w:rsidRPr="002E4E72">
          <w:rPr>
            <w:rStyle w:val="Hyperlink"/>
            <w:i/>
            <w:iCs/>
          </w:rPr>
          <w:t>cilvekresursi</w:t>
        </w:r>
        <w:r w:rsidRPr="00896834">
          <w:rPr>
            <w:rStyle w:val="Hyperlink"/>
          </w:rPr>
          <w:t>-veselibas-aprupe</w:t>
        </w:r>
      </w:hyperlink>
    </w:p>
  </w:footnote>
  <w:footnote w:id="7">
    <w:p w14:paraId="785368EC" w14:textId="3E1AF65F" w:rsidR="000B1B33" w:rsidRDefault="000B1B33" w:rsidP="00364D67">
      <w:pPr>
        <w:pStyle w:val="FootnoteText"/>
        <w:jc w:val="both"/>
      </w:pPr>
      <w:r>
        <w:rPr>
          <w:rStyle w:val="FootnoteReference"/>
        </w:rPr>
        <w:footnoteRef/>
      </w:r>
      <w:r>
        <w:t xml:space="preserve"> Ministru kabineta 2020.gada 11.februāra noteikumi Nr.86 “</w:t>
      </w:r>
      <w:hyperlink r:id="rId5" w:tgtFrame="_blank" w:history="1">
        <w:r w:rsidRPr="00364D67">
          <w:t>Grozījumi Ministru kabineta 2017. gada 21. marta noteikumos Nr. 158 "Darbības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hyperlink>
    </w:p>
  </w:footnote>
  <w:footnote w:id="8">
    <w:p w14:paraId="701093EB" w14:textId="31140899" w:rsidR="000B1B33" w:rsidRDefault="000B1B33" w:rsidP="006D657A">
      <w:pPr>
        <w:pStyle w:val="FootnoteText"/>
        <w:jc w:val="both"/>
      </w:pPr>
      <w:r>
        <w:rPr>
          <w:rStyle w:val="FootnoteReference"/>
        </w:rPr>
        <w:footnoteRef/>
      </w:r>
      <w:r>
        <w:t xml:space="preserve"> Ministru kabineta 2020.gada 11.februāra noteikumi Nr.86 “</w:t>
      </w:r>
      <w:hyperlink r:id="rId6" w:tgtFrame="_blank" w:history="1">
        <w:r w:rsidRPr="00364D67">
          <w:t>Grozījumi Ministru kabineta 2017. gada 21. marta noteikumos Nr. 158 "Darbības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70B4" w14:textId="241A950B" w:rsidR="000B1B33" w:rsidRDefault="000B1B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E924B" w14:textId="77777777" w:rsidR="000B1B33" w:rsidRDefault="000B1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4938" w14:textId="2FA46CED" w:rsidR="000B1B33" w:rsidRDefault="000B1B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747DC82" w14:textId="77777777" w:rsidR="000B1B33" w:rsidRDefault="000B1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9B"/>
    <w:multiLevelType w:val="hybridMultilevel"/>
    <w:tmpl w:val="4B800560"/>
    <w:lvl w:ilvl="0" w:tplc="F9E4387C">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 w15:restartNumberingAfterBreak="0">
    <w:nsid w:val="20230D88"/>
    <w:multiLevelType w:val="hybridMultilevel"/>
    <w:tmpl w:val="3BB04F48"/>
    <w:lvl w:ilvl="0" w:tplc="ED1A9E3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FE80D26"/>
    <w:multiLevelType w:val="hybridMultilevel"/>
    <w:tmpl w:val="349CAD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ED6F44"/>
    <w:multiLevelType w:val="hybridMultilevel"/>
    <w:tmpl w:val="7C0C6394"/>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15:restartNumberingAfterBreak="0">
    <w:nsid w:val="3B8C395D"/>
    <w:multiLevelType w:val="multilevel"/>
    <w:tmpl w:val="09DCBC5A"/>
    <w:lvl w:ilvl="0">
      <w:start w:val="1"/>
      <w:numFmt w:val="decimal"/>
      <w:lvlText w:val="%1."/>
      <w:lvlJc w:val="left"/>
      <w:pPr>
        <w:ind w:left="7023" w:hanging="360"/>
      </w:pPr>
    </w:lvl>
    <w:lvl w:ilvl="1">
      <w:start w:val="1"/>
      <w:numFmt w:val="decimal"/>
      <w:lvlText w:val="%1.%2."/>
      <w:lvlJc w:val="left"/>
      <w:pPr>
        <w:ind w:left="1425" w:hanging="432"/>
      </w:pPr>
    </w:lvl>
    <w:lvl w:ilvl="2">
      <w:start w:val="1"/>
      <w:numFmt w:val="decimal"/>
      <w:lvlText w:val="%1.%2.%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4A1E2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440127"/>
    <w:multiLevelType w:val="multilevel"/>
    <w:tmpl w:val="E2F8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219D1"/>
    <w:multiLevelType w:val="hybridMultilevel"/>
    <w:tmpl w:val="EEDA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2706B"/>
    <w:multiLevelType w:val="hybridMultilevel"/>
    <w:tmpl w:val="03DC65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946C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203A4F"/>
    <w:multiLevelType w:val="hybridMultilevel"/>
    <w:tmpl w:val="66707194"/>
    <w:lvl w:ilvl="0" w:tplc="24AEA56A">
      <w:start w:val="3"/>
      <w:numFmt w:val="decimal"/>
      <w:lvlText w:val="%1."/>
      <w:lvlJc w:val="left"/>
      <w:pPr>
        <w:ind w:left="473" w:hanging="360"/>
      </w:pPr>
      <w:rPr>
        <w:rFonts w:hint="default"/>
        <w:color w:val="000000" w:themeColor="text1"/>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654025A3"/>
    <w:multiLevelType w:val="multilevel"/>
    <w:tmpl w:val="0426001F"/>
    <w:lvl w:ilvl="0">
      <w:start w:val="1"/>
      <w:numFmt w:val="decimal"/>
      <w:lvlText w:val="%1."/>
      <w:lvlJc w:val="left"/>
      <w:pPr>
        <w:ind w:left="121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38331E"/>
    <w:multiLevelType w:val="hybridMultilevel"/>
    <w:tmpl w:val="8BE8EBF4"/>
    <w:lvl w:ilvl="0" w:tplc="52F62DE8">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3" w15:restartNumberingAfterBreak="0">
    <w:nsid w:val="764C1A82"/>
    <w:multiLevelType w:val="hybridMultilevel"/>
    <w:tmpl w:val="A9EEA394"/>
    <w:lvl w:ilvl="0" w:tplc="04260005">
      <w:start w:val="1"/>
      <w:numFmt w:val="bullet"/>
      <w:lvlText w:val=""/>
      <w:lvlJc w:val="left"/>
      <w:pPr>
        <w:ind w:left="1061" w:hanging="360"/>
      </w:pPr>
      <w:rPr>
        <w:rFonts w:ascii="Wingdings" w:hAnsi="Wingdings" w:hint="default"/>
      </w:rPr>
    </w:lvl>
    <w:lvl w:ilvl="1" w:tplc="04260005">
      <w:start w:val="1"/>
      <w:numFmt w:val="bullet"/>
      <w:lvlText w:val=""/>
      <w:lvlJc w:val="left"/>
      <w:pPr>
        <w:ind w:left="1781" w:hanging="360"/>
      </w:pPr>
      <w:rPr>
        <w:rFonts w:ascii="Wingdings" w:hAnsi="Wingdings" w:hint="default"/>
      </w:rPr>
    </w:lvl>
    <w:lvl w:ilvl="2" w:tplc="04260005" w:tentative="1">
      <w:start w:val="1"/>
      <w:numFmt w:val="bullet"/>
      <w:lvlText w:val=""/>
      <w:lvlJc w:val="left"/>
      <w:pPr>
        <w:ind w:left="2501" w:hanging="360"/>
      </w:pPr>
      <w:rPr>
        <w:rFonts w:ascii="Wingdings" w:hAnsi="Wingdings" w:hint="default"/>
      </w:rPr>
    </w:lvl>
    <w:lvl w:ilvl="3" w:tplc="04260001" w:tentative="1">
      <w:start w:val="1"/>
      <w:numFmt w:val="bullet"/>
      <w:lvlText w:val=""/>
      <w:lvlJc w:val="left"/>
      <w:pPr>
        <w:ind w:left="3221" w:hanging="360"/>
      </w:pPr>
      <w:rPr>
        <w:rFonts w:ascii="Symbol" w:hAnsi="Symbol" w:hint="default"/>
      </w:rPr>
    </w:lvl>
    <w:lvl w:ilvl="4" w:tplc="04260003" w:tentative="1">
      <w:start w:val="1"/>
      <w:numFmt w:val="bullet"/>
      <w:lvlText w:val="o"/>
      <w:lvlJc w:val="left"/>
      <w:pPr>
        <w:ind w:left="3941" w:hanging="360"/>
      </w:pPr>
      <w:rPr>
        <w:rFonts w:ascii="Courier New" w:hAnsi="Courier New" w:cs="Courier New" w:hint="default"/>
      </w:rPr>
    </w:lvl>
    <w:lvl w:ilvl="5" w:tplc="04260005" w:tentative="1">
      <w:start w:val="1"/>
      <w:numFmt w:val="bullet"/>
      <w:lvlText w:val=""/>
      <w:lvlJc w:val="left"/>
      <w:pPr>
        <w:ind w:left="4661" w:hanging="360"/>
      </w:pPr>
      <w:rPr>
        <w:rFonts w:ascii="Wingdings" w:hAnsi="Wingdings" w:hint="default"/>
      </w:rPr>
    </w:lvl>
    <w:lvl w:ilvl="6" w:tplc="04260001" w:tentative="1">
      <w:start w:val="1"/>
      <w:numFmt w:val="bullet"/>
      <w:lvlText w:val=""/>
      <w:lvlJc w:val="left"/>
      <w:pPr>
        <w:ind w:left="5381" w:hanging="360"/>
      </w:pPr>
      <w:rPr>
        <w:rFonts w:ascii="Symbol" w:hAnsi="Symbol" w:hint="default"/>
      </w:rPr>
    </w:lvl>
    <w:lvl w:ilvl="7" w:tplc="04260003" w:tentative="1">
      <w:start w:val="1"/>
      <w:numFmt w:val="bullet"/>
      <w:lvlText w:val="o"/>
      <w:lvlJc w:val="left"/>
      <w:pPr>
        <w:ind w:left="6101" w:hanging="360"/>
      </w:pPr>
      <w:rPr>
        <w:rFonts w:ascii="Courier New" w:hAnsi="Courier New" w:cs="Courier New" w:hint="default"/>
      </w:rPr>
    </w:lvl>
    <w:lvl w:ilvl="8" w:tplc="04260005" w:tentative="1">
      <w:start w:val="1"/>
      <w:numFmt w:val="bullet"/>
      <w:lvlText w:val=""/>
      <w:lvlJc w:val="left"/>
      <w:pPr>
        <w:ind w:left="6821" w:hanging="360"/>
      </w:pPr>
      <w:rPr>
        <w:rFonts w:ascii="Wingdings" w:hAnsi="Wingdings" w:hint="default"/>
      </w:rPr>
    </w:lvl>
  </w:abstractNum>
  <w:abstractNum w:abstractNumId="14" w15:restartNumberingAfterBreak="0">
    <w:nsid w:val="783975C9"/>
    <w:multiLevelType w:val="multilevel"/>
    <w:tmpl w:val="E6DC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8"/>
  </w:num>
  <w:num w:numId="8">
    <w:abstractNumId w:val="11"/>
  </w:num>
  <w:num w:numId="9">
    <w:abstractNumId w:val="1"/>
  </w:num>
  <w:num w:numId="10">
    <w:abstractNumId w:val="2"/>
  </w:num>
  <w:num w:numId="11">
    <w:abstractNumId w:val="5"/>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1C"/>
    <w:rsid w:val="0000004E"/>
    <w:rsid w:val="0000007F"/>
    <w:rsid w:val="000006CF"/>
    <w:rsid w:val="00001D3A"/>
    <w:rsid w:val="00003B6E"/>
    <w:rsid w:val="00004EEB"/>
    <w:rsid w:val="00006A21"/>
    <w:rsid w:val="00006CA3"/>
    <w:rsid w:val="000077CA"/>
    <w:rsid w:val="00010573"/>
    <w:rsid w:val="0001075A"/>
    <w:rsid w:val="0001075C"/>
    <w:rsid w:val="00010AD6"/>
    <w:rsid w:val="00011564"/>
    <w:rsid w:val="00013B7C"/>
    <w:rsid w:val="00013CEA"/>
    <w:rsid w:val="000142AB"/>
    <w:rsid w:val="0001496E"/>
    <w:rsid w:val="00014D04"/>
    <w:rsid w:val="0001512A"/>
    <w:rsid w:val="00016BD9"/>
    <w:rsid w:val="000177D7"/>
    <w:rsid w:val="00017DF7"/>
    <w:rsid w:val="00021EA3"/>
    <w:rsid w:val="00022205"/>
    <w:rsid w:val="00022523"/>
    <w:rsid w:val="000229B1"/>
    <w:rsid w:val="00023A89"/>
    <w:rsid w:val="00023BA6"/>
    <w:rsid w:val="00023EAD"/>
    <w:rsid w:val="0002407B"/>
    <w:rsid w:val="0002480A"/>
    <w:rsid w:val="000253BE"/>
    <w:rsid w:val="000258B0"/>
    <w:rsid w:val="00026A28"/>
    <w:rsid w:val="00027C89"/>
    <w:rsid w:val="00027EF6"/>
    <w:rsid w:val="00030AEE"/>
    <w:rsid w:val="00030BED"/>
    <w:rsid w:val="000311C0"/>
    <w:rsid w:val="00031A28"/>
    <w:rsid w:val="00031B47"/>
    <w:rsid w:val="00032890"/>
    <w:rsid w:val="00032A9F"/>
    <w:rsid w:val="000331F5"/>
    <w:rsid w:val="000332FD"/>
    <w:rsid w:val="00033885"/>
    <w:rsid w:val="00033DA5"/>
    <w:rsid w:val="0003481E"/>
    <w:rsid w:val="000349F4"/>
    <w:rsid w:val="000350F7"/>
    <w:rsid w:val="00035304"/>
    <w:rsid w:val="00036003"/>
    <w:rsid w:val="0003665B"/>
    <w:rsid w:val="000372A0"/>
    <w:rsid w:val="000379CD"/>
    <w:rsid w:val="00037AA8"/>
    <w:rsid w:val="000401EE"/>
    <w:rsid w:val="00040261"/>
    <w:rsid w:val="00040280"/>
    <w:rsid w:val="00040711"/>
    <w:rsid w:val="00040741"/>
    <w:rsid w:val="0004188B"/>
    <w:rsid w:val="000419AE"/>
    <w:rsid w:val="0004341C"/>
    <w:rsid w:val="00043510"/>
    <w:rsid w:val="00044751"/>
    <w:rsid w:val="00044811"/>
    <w:rsid w:val="000451EF"/>
    <w:rsid w:val="00045588"/>
    <w:rsid w:val="00045BAB"/>
    <w:rsid w:val="000461A6"/>
    <w:rsid w:val="000461D7"/>
    <w:rsid w:val="0004642F"/>
    <w:rsid w:val="00046C46"/>
    <w:rsid w:val="00047D55"/>
    <w:rsid w:val="00047FB2"/>
    <w:rsid w:val="00051089"/>
    <w:rsid w:val="00051273"/>
    <w:rsid w:val="000512DA"/>
    <w:rsid w:val="000518C5"/>
    <w:rsid w:val="00051A1C"/>
    <w:rsid w:val="00051D8A"/>
    <w:rsid w:val="000530A2"/>
    <w:rsid w:val="000533DF"/>
    <w:rsid w:val="00054302"/>
    <w:rsid w:val="00054E04"/>
    <w:rsid w:val="0005514A"/>
    <w:rsid w:val="0005536B"/>
    <w:rsid w:val="0005631C"/>
    <w:rsid w:val="0005680A"/>
    <w:rsid w:val="00056BDB"/>
    <w:rsid w:val="00057F15"/>
    <w:rsid w:val="00060FDE"/>
    <w:rsid w:val="00061871"/>
    <w:rsid w:val="00062879"/>
    <w:rsid w:val="00062E81"/>
    <w:rsid w:val="000637E3"/>
    <w:rsid w:val="00063FD8"/>
    <w:rsid w:val="00064018"/>
    <w:rsid w:val="000648AB"/>
    <w:rsid w:val="00065323"/>
    <w:rsid w:val="00065BE4"/>
    <w:rsid w:val="00065DC8"/>
    <w:rsid w:val="00065DD9"/>
    <w:rsid w:val="0006629F"/>
    <w:rsid w:val="00066554"/>
    <w:rsid w:val="000672A0"/>
    <w:rsid w:val="00067F74"/>
    <w:rsid w:val="000700EC"/>
    <w:rsid w:val="000703FA"/>
    <w:rsid w:val="000705DB"/>
    <w:rsid w:val="000710BE"/>
    <w:rsid w:val="00071A7C"/>
    <w:rsid w:val="00072639"/>
    <w:rsid w:val="00072647"/>
    <w:rsid w:val="00072AB5"/>
    <w:rsid w:val="00072FD1"/>
    <w:rsid w:val="0007350E"/>
    <w:rsid w:val="000738A5"/>
    <w:rsid w:val="000746DD"/>
    <w:rsid w:val="000749D1"/>
    <w:rsid w:val="00074C50"/>
    <w:rsid w:val="0007501F"/>
    <w:rsid w:val="00075C90"/>
    <w:rsid w:val="00075FD9"/>
    <w:rsid w:val="00075FE6"/>
    <w:rsid w:val="0007617E"/>
    <w:rsid w:val="00077350"/>
    <w:rsid w:val="000773E4"/>
    <w:rsid w:val="000778C6"/>
    <w:rsid w:val="00080F58"/>
    <w:rsid w:val="0008105E"/>
    <w:rsid w:val="0008118C"/>
    <w:rsid w:val="000818B4"/>
    <w:rsid w:val="00081E56"/>
    <w:rsid w:val="00082220"/>
    <w:rsid w:val="0008397F"/>
    <w:rsid w:val="00084332"/>
    <w:rsid w:val="00084405"/>
    <w:rsid w:val="000848D2"/>
    <w:rsid w:val="00085578"/>
    <w:rsid w:val="00086AFA"/>
    <w:rsid w:val="00087449"/>
    <w:rsid w:val="000876AA"/>
    <w:rsid w:val="00087787"/>
    <w:rsid w:val="00087912"/>
    <w:rsid w:val="000879A1"/>
    <w:rsid w:val="0009006B"/>
    <w:rsid w:val="00090EEE"/>
    <w:rsid w:val="0009177F"/>
    <w:rsid w:val="00091D92"/>
    <w:rsid w:val="0009253D"/>
    <w:rsid w:val="00092C08"/>
    <w:rsid w:val="00092C69"/>
    <w:rsid w:val="000938BC"/>
    <w:rsid w:val="00093955"/>
    <w:rsid w:val="000939C4"/>
    <w:rsid w:val="00093C1E"/>
    <w:rsid w:val="00093E32"/>
    <w:rsid w:val="00094A42"/>
    <w:rsid w:val="00094A86"/>
    <w:rsid w:val="00094D29"/>
    <w:rsid w:val="00094F8F"/>
    <w:rsid w:val="00095A46"/>
    <w:rsid w:val="00096071"/>
    <w:rsid w:val="000962C0"/>
    <w:rsid w:val="00096958"/>
    <w:rsid w:val="000969F5"/>
    <w:rsid w:val="0009711C"/>
    <w:rsid w:val="0009765C"/>
    <w:rsid w:val="00097667"/>
    <w:rsid w:val="000A03DA"/>
    <w:rsid w:val="000A0B0B"/>
    <w:rsid w:val="000A0B51"/>
    <w:rsid w:val="000A1230"/>
    <w:rsid w:val="000A14FE"/>
    <w:rsid w:val="000A1507"/>
    <w:rsid w:val="000A1DF9"/>
    <w:rsid w:val="000A2285"/>
    <w:rsid w:val="000A249F"/>
    <w:rsid w:val="000A3A3B"/>
    <w:rsid w:val="000A3D7C"/>
    <w:rsid w:val="000A4F46"/>
    <w:rsid w:val="000A57E5"/>
    <w:rsid w:val="000A614E"/>
    <w:rsid w:val="000A632A"/>
    <w:rsid w:val="000A6387"/>
    <w:rsid w:val="000A6455"/>
    <w:rsid w:val="000A649D"/>
    <w:rsid w:val="000A6A8E"/>
    <w:rsid w:val="000A6B35"/>
    <w:rsid w:val="000A6D36"/>
    <w:rsid w:val="000A7709"/>
    <w:rsid w:val="000A7B2A"/>
    <w:rsid w:val="000B0A3D"/>
    <w:rsid w:val="000B0B77"/>
    <w:rsid w:val="000B19B9"/>
    <w:rsid w:val="000B1B33"/>
    <w:rsid w:val="000B23AA"/>
    <w:rsid w:val="000B2A38"/>
    <w:rsid w:val="000B2ED3"/>
    <w:rsid w:val="000B3411"/>
    <w:rsid w:val="000B34CB"/>
    <w:rsid w:val="000B3D38"/>
    <w:rsid w:val="000B4E74"/>
    <w:rsid w:val="000B5324"/>
    <w:rsid w:val="000B54AE"/>
    <w:rsid w:val="000B5BC8"/>
    <w:rsid w:val="000B5C3B"/>
    <w:rsid w:val="000B5E3A"/>
    <w:rsid w:val="000B6F32"/>
    <w:rsid w:val="000B790B"/>
    <w:rsid w:val="000C0654"/>
    <w:rsid w:val="000C075A"/>
    <w:rsid w:val="000C0894"/>
    <w:rsid w:val="000C0BFF"/>
    <w:rsid w:val="000C11F7"/>
    <w:rsid w:val="000C1806"/>
    <w:rsid w:val="000C1E94"/>
    <w:rsid w:val="000C1ED2"/>
    <w:rsid w:val="000C228E"/>
    <w:rsid w:val="000C326C"/>
    <w:rsid w:val="000C328B"/>
    <w:rsid w:val="000C3393"/>
    <w:rsid w:val="000C3992"/>
    <w:rsid w:val="000C3A66"/>
    <w:rsid w:val="000C467C"/>
    <w:rsid w:val="000C538E"/>
    <w:rsid w:val="000C5995"/>
    <w:rsid w:val="000C5FE2"/>
    <w:rsid w:val="000C61CE"/>
    <w:rsid w:val="000C62B6"/>
    <w:rsid w:val="000C69A8"/>
    <w:rsid w:val="000C6E9B"/>
    <w:rsid w:val="000C7F03"/>
    <w:rsid w:val="000C7F3E"/>
    <w:rsid w:val="000D0F10"/>
    <w:rsid w:val="000D10A0"/>
    <w:rsid w:val="000D3507"/>
    <w:rsid w:val="000D40A9"/>
    <w:rsid w:val="000D40AC"/>
    <w:rsid w:val="000D4C80"/>
    <w:rsid w:val="000D507B"/>
    <w:rsid w:val="000D5A1E"/>
    <w:rsid w:val="000D63FE"/>
    <w:rsid w:val="000D7C06"/>
    <w:rsid w:val="000D7EB0"/>
    <w:rsid w:val="000E0B74"/>
    <w:rsid w:val="000E176D"/>
    <w:rsid w:val="000E2002"/>
    <w:rsid w:val="000E24E4"/>
    <w:rsid w:val="000E32B4"/>
    <w:rsid w:val="000E3406"/>
    <w:rsid w:val="000E345E"/>
    <w:rsid w:val="000E38F1"/>
    <w:rsid w:val="000E5F1E"/>
    <w:rsid w:val="000E6C7B"/>
    <w:rsid w:val="000E6D22"/>
    <w:rsid w:val="000E6EA8"/>
    <w:rsid w:val="000E7EBD"/>
    <w:rsid w:val="000E7F58"/>
    <w:rsid w:val="000F079B"/>
    <w:rsid w:val="000F080D"/>
    <w:rsid w:val="000F099A"/>
    <w:rsid w:val="000F0B0D"/>
    <w:rsid w:val="000F12E4"/>
    <w:rsid w:val="000F18D4"/>
    <w:rsid w:val="000F1E2A"/>
    <w:rsid w:val="000F2556"/>
    <w:rsid w:val="000F2595"/>
    <w:rsid w:val="000F2E5B"/>
    <w:rsid w:val="000F42B4"/>
    <w:rsid w:val="000F6127"/>
    <w:rsid w:val="000F63F4"/>
    <w:rsid w:val="000F65F0"/>
    <w:rsid w:val="000F6C48"/>
    <w:rsid w:val="000F6CA0"/>
    <w:rsid w:val="000F6F70"/>
    <w:rsid w:val="000F7117"/>
    <w:rsid w:val="00100196"/>
    <w:rsid w:val="001004AA"/>
    <w:rsid w:val="00100643"/>
    <w:rsid w:val="00100988"/>
    <w:rsid w:val="00100ADA"/>
    <w:rsid w:val="00101339"/>
    <w:rsid w:val="00101AC4"/>
    <w:rsid w:val="001022F4"/>
    <w:rsid w:val="001024E1"/>
    <w:rsid w:val="001026F6"/>
    <w:rsid w:val="00102B64"/>
    <w:rsid w:val="00102C27"/>
    <w:rsid w:val="00102FEA"/>
    <w:rsid w:val="00103608"/>
    <w:rsid w:val="001039EE"/>
    <w:rsid w:val="00103B84"/>
    <w:rsid w:val="00103E48"/>
    <w:rsid w:val="00104459"/>
    <w:rsid w:val="00104722"/>
    <w:rsid w:val="00104C88"/>
    <w:rsid w:val="00105487"/>
    <w:rsid w:val="00106FE1"/>
    <w:rsid w:val="00106FF3"/>
    <w:rsid w:val="001108E9"/>
    <w:rsid w:val="001109DA"/>
    <w:rsid w:val="00111190"/>
    <w:rsid w:val="0011122E"/>
    <w:rsid w:val="0011132A"/>
    <w:rsid w:val="00111C00"/>
    <w:rsid w:val="00111D17"/>
    <w:rsid w:val="0011391E"/>
    <w:rsid w:val="00113E50"/>
    <w:rsid w:val="00114608"/>
    <w:rsid w:val="00114DCE"/>
    <w:rsid w:val="00115124"/>
    <w:rsid w:val="001157B2"/>
    <w:rsid w:val="00115996"/>
    <w:rsid w:val="00115C48"/>
    <w:rsid w:val="00117BB9"/>
    <w:rsid w:val="0012089E"/>
    <w:rsid w:val="00120CE6"/>
    <w:rsid w:val="00121058"/>
    <w:rsid w:val="00121170"/>
    <w:rsid w:val="00121300"/>
    <w:rsid w:val="001215DC"/>
    <w:rsid w:val="00121708"/>
    <w:rsid w:val="001219BE"/>
    <w:rsid w:val="00122240"/>
    <w:rsid w:val="0012279B"/>
    <w:rsid w:val="001228BD"/>
    <w:rsid w:val="00124003"/>
    <w:rsid w:val="00124610"/>
    <w:rsid w:val="00125CC0"/>
    <w:rsid w:val="001268E7"/>
    <w:rsid w:val="001271A7"/>
    <w:rsid w:val="001301D8"/>
    <w:rsid w:val="00130286"/>
    <w:rsid w:val="0013083A"/>
    <w:rsid w:val="00130B15"/>
    <w:rsid w:val="0013167A"/>
    <w:rsid w:val="00131B7C"/>
    <w:rsid w:val="00132010"/>
    <w:rsid w:val="00132477"/>
    <w:rsid w:val="00132673"/>
    <w:rsid w:val="001326F5"/>
    <w:rsid w:val="0013287B"/>
    <w:rsid w:val="00132A98"/>
    <w:rsid w:val="00132D78"/>
    <w:rsid w:val="0013306D"/>
    <w:rsid w:val="001342F6"/>
    <w:rsid w:val="001343E2"/>
    <w:rsid w:val="00134610"/>
    <w:rsid w:val="0013473F"/>
    <w:rsid w:val="001349E0"/>
    <w:rsid w:val="00135104"/>
    <w:rsid w:val="0013565E"/>
    <w:rsid w:val="001357B2"/>
    <w:rsid w:val="00135A65"/>
    <w:rsid w:val="001364D4"/>
    <w:rsid w:val="001366D7"/>
    <w:rsid w:val="00136FE2"/>
    <w:rsid w:val="00137679"/>
    <w:rsid w:val="00141485"/>
    <w:rsid w:val="00142047"/>
    <w:rsid w:val="00142096"/>
    <w:rsid w:val="001420EE"/>
    <w:rsid w:val="0014373C"/>
    <w:rsid w:val="001437BD"/>
    <w:rsid w:val="001437C1"/>
    <w:rsid w:val="0014459B"/>
    <w:rsid w:val="001445AA"/>
    <w:rsid w:val="00144673"/>
    <w:rsid w:val="001449CC"/>
    <w:rsid w:val="001461E0"/>
    <w:rsid w:val="0014669B"/>
    <w:rsid w:val="00146A34"/>
    <w:rsid w:val="00150093"/>
    <w:rsid w:val="00150DA5"/>
    <w:rsid w:val="0015195C"/>
    <w:rsid w:val="00151C63"/>
    <w:rsid w:val="00151E3F"/>
    <w:rsid w:val="001522AB"/>
    <w:rsid w:val="001526CD"/>
    <w:rsid w:val="00152866"/>
    <w:rsid w:val="00153395"/>
    <w:rsid w:val="00153C19"/>
    <w:rsid w:val="001542B3"/>
    <w:rsid w:val="00155513"/>
    <w:rsid w:val="00155B12"/>
    <w:rsid w:val="00157229"/>
    <w:rsid w:val="00160F63"/>
    <w:rsid w:val="0016187F"/>
    <w:rsid w:val="0016188D"/>
    <w:rsid w:val="00162A40"/>
    <w:rsid w:val="00164651"/>
    <w:rsid w:val="001647CA"/>
    <w:rsid w:val="00164C8C"/>
    <w:rsid w:val="00164EDE"/>
    <w:rsid w:val="001654DC"/>
    <w:rsid w:val="00165A8F"/>
    <w:rsid w:val="001671FC"/>
    <w:rsid w:val="0016725E"/>
    <w:rsid w:val="00167576"/>
    <w:rsid w:val="001677A3"/>
    <w:rsid w:val="00170A4E"/>
    <w:rsid w:val="00171E70"/>
    <w:rsid w:val="00172C63"/>
    <w:rsid w:val="00172C6E"/>
    <w:rsid w:val="00172E1B"/>
    <w:rsid w:val="00173657"/>
    <w:rsid w:val="00173DB7"/>
    <w:rsid w:val="00174BEF"/>
    <w:rsid w:val="00174F93"/>
    <w:rsid w:val="00175D51"/>
    <w:rsid w:val="00175FE2"/>
    <w:rsid w:val="00176498"/>
    <w:rsid w:val="0017663B"/>
    <w:rsid w:val="001767BB"/>
    <w:rsid w:val="001775A0"/>
    <w:rsid w:val="001777FC"/>
    <w:rsid w:val="0018006E"/>
    <w:rsid w:val="00180ACF"/>
    <w:rsid w:val="00180D14"/>
    <w:rsid w:val="00181C02"/>
    <w:rsid w:val="00182AA3"/>
    <w:rsid w:val="001830CC"/>
    <w:rsid w:val="001838F3"/>
    <w:rsid w:val="00183B82"/>
    <w:rsid w:val="00184813"/>
    <w:rsid w:val="00184C32"/>
    <w:rsid w:val="00185123"/>
    <w:rsid w:val="00185381"/>
    <w:rsid w:val="00185B8D"/>
    <w:rsid w:val="001860B1"/>
    <w:rsid w:val="00186363"/>
    <w:rsid w:val="001866A5"/>
    <w:rsid w:val="00186FC6"/>
    <w:rsid w:val="00187801"/>
    <w:rsid w:val="00187BCA"/>
    <w:rsid w:val="00190113"/>
    <w:rsid w:val="0019043A"/>
    <w:rsid w:val="0019057E"/>
    <w:rsid w:val="001906D4"/>
    <w:rsid w:val="001908EB"/>
    <w:rsid w:val="00190946"/>
    <w:rsid w:val="001909F3"/>
    <w:rsid w:val="00190E51"/>
    <w:rsid w:val="00191D21"/>
    <w:rsid w:val="001928F8"/>
    <w:rsid w:val="00192C03"/>
    <w:rsid w:val="001932DB"/>
    <w:rsid w:val="00193692"/>
    <w:rsid w:val="001938CD"/>
    <w:rsid w:val="001942EB"/>
    <w:rsid w:val="001950BA"/>
    <w:rsid w:val="00195AE2"/>
    <w:rsid w:val="00195FE5"/>
    <w:rsid w:val="001962C4"/>
    <w:rsid w:val="001962E3"/>
    <w:rsid w:val="00197678"/>
    <w:rsid w:val="001A033A"/>
    <w:rsid w:val="001A05FF"/>
    <w:rsid w:val="001A0F15"/>
    <w:rsid w:val="001A1ED7"/>
    <w:rsid w:val="001A22CB"/>
    <w:rsid w:val="001A28C3"/>
    <w:rsid w:val="001A297F"/>
    <w:rsid w:val="001A3B62"/>
    <w:rsid w:val="001A425F"/>
    <w:rsid w:val="001A4EE7"/>
    <w:rsid w:val="001A5003"/>
    <w:rsid w:val="001A52A1"/>
    <w:rsid w:val="001A5B17"/>
    <w:rsid w:val="001A5F95"/>
    <w:rsid w:val="001A614E"/>
    <w:rsid w:val="001A6AEA"/>
    <w:rsid w:val="001A788A"/>
    <w:rsid w:val="001B02E4"/>
    <w:rsid w:val="001B0399"/>
    <w:rsid w:val="001B0C3C"/>
    <w:rsid w:val="001B0FB3"/>
    <w:rsid w:val="001B1BEB"/>
    <w:rsid w:val="001B1DEC"/>
    <w:rsid w:val="001B268D"/>
    <w:rsid w:val="001B2753"/>
    <w:rsid w:val="001B2D1D"/>
    <w:rsid w:val="001B315C"/>
    <w:rsid w:val="001B4C79"/>
    <w:rsid w:val="001B5116"/>
    <w:rsid w:val="001B57B6"/>
    <w:rsid w:val="001B66D3"/>
    <w:rsid w:val="001B7153"/>
    <w:rsid w:val="001B7BBF"/>
    <w:rsid w:val="001C02F2"/>
    <w:rsid w:val="001C038E"/>
    <w:rsid w:val="001C07E0"/>
    <w:rsid w:val="001C0980"/>
    <w:rsid w:val="001C11EA"/>
    <w:rsid w:val="001C1C9D"/>
    <w:rsid w:val="001C2383"/>
    <w:rsid w:val="001C2401"/>
    <w:rsid w:val="001C2FD5"/>
    <w:rsid w:val="001C446A"/>
    <w:rsid w:val="001C457A"/>
    <w:rsid w:val="001C4854"/>
    <w:rsid w:val="001C493F"/>
    <w:rsid w:val="001C4D3E"/>
    <w:rsid w:val="001C5A51"/>
    <w:rsid w:val="001C5E5F"/>
    <w:rsid w:val="001C5F71"/>
    <w:rsid w:val="001C673C"/>
    <w:rsid w:val="001C677B"/>
    <w:rsid w:val="001C68E9"/>
    <w:rsid w:val="001C716D"/>
    <w:rsid w:val="001D0025"/>
    <w:rsid w:val="001D0679"/>
    <w:rsid w:val="001D0959"/>
    <w:rsid w:val="001D0F7E"/>
    <w:rsid w:val="001D1622"/>
    <w:rsid w:val="001D193B"/>
    <w:rsid w:val="001D1BCA"/>
    <w:rsid w:val="001D2D91"/>
    <w:rsid w:val="001D2F3C"/>
    <w:rsid w:val="001D3051"/>
    <w:rsid w:val="001D3987"/>
    <w:rsid w:val="001D3E56"/>
    <w:rsid w:val="001D4857"/>
    <w:rsid w:val="001D49E8"/>
    <w:rsid w:val="001D55DA"/>
    <w:rsid w:val="001D5C33"/>
    <w:rsid w:val="001D6102"/>
    <w:rsid w:val="001D6611"/>
    <w:rsid w:val="001D6DB1"/>
    <w:rsid w:val="001D7238"/>
    <w:rsid w:val="001D7747"/>
    <w:rsid w:val="001E155F"/>
    <w:rsid w:val="001E20B3"/>
    <w:rsid w:val="001E21A1"/>
    <w:rsid w:val="001E2A2E"/>
    <w:rsid w:val="001E3003"/>
    <w:rsid w:val="001E32B2"/>
    <w:rsid w:val="001E33AB"/>
    <w:rsid w:val="001E3C43"/>
    <w:rsid w:val="001E4130"/>
    <w:rsid w:val="001E4513"/>
    <w:rsid w:val="001E48EA"/>
    <w:rsid w:val="001E51B5"/>
    <w:rsid w:val="001E5390"/>
    <w:rsid w:val="001E5EFC"/>
    <w:rsid w:val="001E6859"/>
    <w:rsid w:val="001E6AE6"/>
    <w:rsid w:val="001E6CEC"/>
    <w:rsid w:val="001E6E67"/>
    <w:rsid w:val="001E753D"/>
    <w:rsid w:val="001E7771"/>
    <w:rsid w:val="001F04ED"/>
    <w:rsid w:val="001F139A"/>
    <w:rsid w:val="001F1459"/>
    <w:rsid w:val="001F1DDC"/>
    <w:rsid w:val="001F1DDE"/>
    <w:rsid w:val="001F2B16"/>
    <w:rsid w:val="001F2C5E"/>
    <w:rsid w:val="001F2D21"/>
    <w:rsid w:val="001F2D96"/>
    <w:rsid w:val="001F2F1B"/>
    <w:rsid w:val="001F31EB"/>
    <w:rsid w:val="001F3706"/>
    <w:rsid w:val="001F39B6"/>
    <w:rsid w:val="001F3C3C"/>
    <w:rsid w:val="001F42A5"/>
    <w:rsid w:val="001F4A34"/>
    <w:rsid w:val="001F4C7B"/>
    <w:rsid w:val="001F4D60"/>
    <w:rsid w:val="001F5803"/>
    <w:rsid w:val="001F58D4"/>
    <w:rsid w:val="001F5A02"/>
    <w:rsid w:val="001F6BC5"/>
    <w:rsid w:val="001F6BF7"/>
    <w:rsid w:val="001F7223"/>
    <w:rsid w:val="001F76D3"/>
    <w:rsid w:val="001F7C19"/>
    <w:rsid w:val="0020015D"/>
    <w:rsid w:val="00200DFE"/>
    <w:rsid w:val="00201531"/>
    <w:rsid w:val="0020206A"/>
    <w:rsid w:val="00202099"/>
    <w:rsid w:val="002030C8"/>
    <w:rsid w:val="0020355C"/>
    <w:rsid w:val="00204039"/>
    <w:rsid w:val="00204169"/>
    <w:rsid w:val="0020428A"/>
    <w:rsid w:val="00205006"/>
    <w:rsid w:val="0020527E"/>
    <w:rsid w:val="00205DB2"/>
    <w:rsid w:val="0020696D"/>
    <w:rsid w:val="00206AB9"/>
    <w:rsid w:val="002070E9"/>
    <w:rsid w:val="0020777F"/>
    <w:rsid w:val="00207ED4"/>
    <w:rsid w:val="002105B1"/>
    <w:rsid w:val="002106BC"/>
    <w:rsid w:val="002106EC"/>
    <w:rsid w:val="00210B37"/>
    <w:rsid w:val="00210C61"/>
    <w:rsid w:val="0021137A"/>
    <w:rsid w:val="0021148A"/>
    <w:rsid w:val="00211A74"/>
    <w:rsid w:val="00212558"/>
    <w:rsid w:val="002130F9"/>
    <w:rsid w:val="002131A0"/>
    <w:rsid w:val="00214555"/>
    <w:rsid w:val="00214A11"/>
    <w:rsid w:val="00214EE0"/>
    <w:rsid w:val="002157B0"/>
    <w:rsid w:val="00215C64"/>
    <w:rsid w:val="0021632A"/>
    <w:rsid w:val="00216724"/>
    <w:rsid w:val="002169BD"/>
    <w:rsid w:val="0021759A"/>
    <w:rsid w:val="00217705"/>
    <w:rsid w:val="0021798C"/>
    <w:rsid w:val="00217BB5"/>
    <w:rsid w:val="002209CB"/>
    <w:rsid w:val="00220C2A"/>
    <w:rsid w:val="00220E3B"/>
    <w:rsid w:val="002211D7"/>
    <w:rsid w:val="00221434"/>
    <w:rsid w:val="00221576"/>
    <w:rsid w:val="0022195A"/>
    <w:rsid w:val="00221ABB"/>
    <w:rsid w:val="00223255"/>
    <w:rsid w:val="00223471"/>
    <w:rsid w:val="002239E1"/>
    <w:rsid w:val="00224BB7"/>
    <w:rsid w:val="00225831"/>
    <w:rsid w:val="0022598A"/>
    <w:rsid w:val="0022598E"/>
    <w:rsid w:val="00226A38"/>
    <w:rsid w:val="00226A91"/>
    <w:rsid w:val="00226B76"/>
    <w:rsid w:val="00226F77"/>
    <w:rsid w:val="00226FE0"/>
    <w:rsid w:val="00227E32"/>
    <w:rsid w:val="00231010"/>
    <w:rsid w:val="00231B6A"/>
    <w:rsid w:val="00231C91"/>
    <w:rsid w:val="00231D61"/>
    <w:rsid w:val="00231F4B"/>
    <w:rsid w:val="00232CEC"/>
    <w:rsid w:val="00233132"/>
    <w:rsid w:val="00233516"/>
    <w:rsid w:val="00233D20"/>
    <w:rsid w:val="0023455C"/>
    <w:rsid w:val="00234B35"/>
    <w:rsid w:val="002352C7"/>
    <w:rsid w:val="00235360"/>
    <w:rsid w:val="00235765"/>
    <w:rsid w:val="00235F43"/>
    <w:rsid w:val="00235FE2"/>
    <w:rsid w:val="0023643A"/>
    <w:rsid w:val="00236498"/>
    <w:rsid w:val="00236630"/>
    <w:rsid w:val="002367AA"/>
    <w:rsid w:val="00236D00"/>
    <w:rsid w:val="00236E9B"/>
    <w:rsid w:val="00236F7C"/>
    <w:rsid w:val="00237AA7"/>
    <w:rsid w:val="002403D4"/>
    <w:rsid w:val="00240676"/>
    <w:rsid w:val="00240BB9"/>
    <w:rsid w:val="00240C71"/>
    <w:rsid w:val="00241994"/>
    <w:rsid w:val="00241D26"/>
    <w:rsid w:val="00241E1A"/>
    <w:rsid w:val="00241EAF"/>
    <w:rsid w:val="00242173"/>
    <w:rsid w:val="00242400"/>
    <w:rsid w:val="00242480"/>
    <w:rsid w:val="00242680"/>
    <w:rsid w:val="00243493"/>
    <w:rsid w:val="00243A86"/>
    <w:rsid w:val="002446B4"/>
    <w:rsid w:val="00244C4E"/>
    <w:rsid w:val="0024551A"/>
    <w:rsid w:val="00245E4D"/>
    <w:rsid w:val="00245E57"/>
    <w:rsid w:val="0024688C"/>
    <w:rsid w:val="00246AF0"/>
    <w:rsid w:val="00247A5C"/>
    <w:rsid w:val="002501CD"/>
    <w:rsid w:val="00250392"/>
    <w:rsid w:val="00250C15"/>
    <w:rsid w:val="00250E14"/>
    <w:rsid w:val="00251191"/>
    <w:rsid w:val="00251294"/>
    <w:rsid w:val="00251FFF"/>
    <w:rsid w:val="00252AE0"/>
    <w:rsid w:val="00252F83"/>
    <w:rsid w:val="00253085"/>
    <w:rsid w:val="002536B9"/>
    <w:rsid w:val="00253E28"/>
    <w:rsid w:val="002546E8"/>
    <w:rsid w:val="00256835"/>
    <w:rsid w:val="00256864"/>
    <w:rsid w:val="00257B17"/>
    <w:rsid w:val="002601B9"/>
    <w:rsid w:val="00260BF5"/>
    <w:rsid w:val="00260BFA"/>
    <w:rsid w:val="00260CF2"/>
    <w:rsid w:val="00260F8B"/>
    <w:rsid w:val="00261583"/>
    <w:rsid w:val="00261745"/>
    <w:rsid w:val="002623D2"/>
    <w:rsid w:val="002629D3"/>
    <w:rsid w:val="00262B6A"/>
    <w:rsid w:val="00264230"/>
    <w:rsid w:val="0026440F"/>
    <w:rsid w:val="00265AC5"/>
    <w:rsid w:val="00265FF6"/>
    <w:rsid w:val="002668EC"/>
    <w:rsid w:val="00266AD1"/>
    <w:rsid w:val="00266DAD"/>
    <w:rsid w:val="0026728B"/>
    <w:rsid w:val="0027053B"/>
    <w:rsid w:val="00270B5B"/>
    <w:rsid w:val="002712A5"/>
    <w:rsid w:val="00271FF2"/>
    <w:rsid w:val="002729A8"/>
    <w:rsid w:val="00272DE6"/>
    <w:rsid w:val="00273157"/>
    <w:rsid w:val="00273278"/>
    <w:rsid w:val="002742A1"/>
    <w:rsid w:val="002745DA"/>
    <w:rsid w:val="0027463E"/>
    <w:rsid w:val="00275599"/>
    <w:rsid w:val="00276190"/>
    <w:rsid w:val="002775DA"/>
    <w:rsid w:val="00277830"/>
    <w:rsid w:val="002779D8"/>
    <w:rsid w:val="00277DFA"/>
    <w:rsid w:val="00277EE3"/>
    <w:rsid w:val="00281321"/>
    <w:rsid w:val="002821D4"/>
    <w:rsid w:val="00282642"/>
    <w:rsid w:val="0028281D"/>
    <w:rsid w:val="00282DD3"/>
    <w:rsid w:val="00283496"/>
    <w:rsid w:val="002845C6"/>
    <w:rsid w:val="00284C3F"/>
    <w:rsid w:val="0028551C"/>
    <w:rsid w:val="00285B39"/>
    <w:rsid w:val="00285C1F"/>
    <w:rsid w:val="0028615F"/>
    <w:rsid w:val="00286487"/>
    <w:rsid w:val="0028669B"/>
    <w:rsid w:val="00286F76"/>
    <w:rsid w:val="002907B1"/>
    <w:rsid w:val="00290C29"/>
    <w:rsid w:val="00291870"/>
    <w:rsid w:val="0029194F"/>
    <w:rsid w:val="00291DAD"/>
    <w:rsid w:val="00291E72"/>
    <w:rsid w:val="00292700"/>
    <w:rsid w:val="0029403B"/>
    <w:rsid w:val="0029406B"/>
    <w:rsid w:val="00295466"/>
    <w:rsid w:val="00295AF7"/>
    <w:rsid w:val="002970B5"/>
    <w:rsid w:val="00297DDD"/>
    <w:rsid w:val="002A0184"/>
    <w:rsid w:val="002A027B"/>
    <w:rsid w:val="002A039F"/>
    <w:rsid w:val="002A1432"/>
    <w:rsid w:val="002A150E"/>
    <w:rsid w:val="002A2DE1"/>
    <w:rsid w:val="002A46CA"/>
    <w:rsid w:val="002A4800"/>
    <w:rsid w:val="002A4811"/>
    <w:rsid w:val="002A49D0"/>
    <w:rsid w:val="002A51D1"/>
    <w:rsid w:val="002A550C"/>
    <w:rsid w:val="002A725C"/>
    <w:rsid w:val="002A7378"/>
    <w:rsid w:val="002A7525"/>
    <w:rsid w:val="002B0032"/>
    <w:rsid w:val="002B1758"/>
    <w:rsid w:val="002B20CA"/>
    <w:rsid w:val="002B2135"/>
    <w:rsid w:val="002B2650"/>
    <w:rsid w:val="002B29C1"/>
    <w:rsid w:val="002B2A0D"/>
    <w:rsid w:val="002B3943"/>
    <w:rsid w:val="002B3DFA"/>
    <w:rsid w:val="002B3E70"/>
    <w:rsid w:val="002B40D0"/>
    <w:rsid w:val="002B5A80"/>
    <w:rsid w:val="002B5D9A"/>
    <w:rsid w:val="002B5DF7"/>
    <w:rsid w:val="002B5E6A"/>
    <w:rsid w:val="002B5E8D"/>
    <w:rsid w:val="002B646B"/>
    <w:rsid w:val="002B6C72"/>
    <w:rsid w:val="002C11D6"/>
    <w:rsid w:val="002C13CF"/>
    <w:rsid w:val="002C1C61"/>
    <w:rsid w:val="002C2A84"/>
    <w:rsid w:val="002C3857"/>
    <w:rsid w:val="002C3F14"/>
    <w:rsid w:val="002C47CD"/>
    <w:rsid w:val="002C5612"/>
    <w:rsid w:val="002C58CF"/>
    <w:rsid w:val="002C5D12"/>
    <w:rsid w:val="002C5F79"/>
    <w:rsid w:val="002C605B"/>
    <w:rsid w:val="002C6AD5"/>
    <w:rsid w:val="002C6B64"/>
    <w:rsid w:val="002C6CFF"/>
    <w:rsid w:val="002C7028"/>
    <w:rsid w:val="002D0144"/>
    <w:rsid w:val="002D0DEF"/>
    <w:rsid w:val="002D0EC7"/>
    <w:rsid w:val="002D2859"/>
    <w:rsid w:val="002D2960"/>
    <w:rsid w:val="002D307D"/>
    <w:rsid w:val="002D33E0"/>
    <w:rsid w:val="002D3C85"/>
    <w:rsid w:val="002D3F36"/>
    <w:rsid w:val="002D48B0"/>
    <w:rsid w:val="002D49FB"/>
    <w:rsid w:val="002D5934"/>
    <w:rsid w:val="002D599A"/>
    <w:rsid w:val="002D5F26"/>
    <w:rsid w:val="002D66C3"/>
    <w:rsid w:val="002D6A93"/>
    <w:rsid w:val="002D76C8"/>
    <w:rsid w:val="002D771B"/>
    <w:rsid w:val="002D7F59"/>
    <w:rsid w:val="002D7F8B"/>
    <w:rsid w:val="002E0E0E"/>
    <w:rsid w:val="002E1C0E"/>
    <w:rsid w:val="002E1D48"/>
    <w:rsid w:val="002E2290"/>
    <w:rsid w:val="002E29E7"/>
    <w:rsid w:val="002E2AB6"/>
    <w:rsid w:val="002E38B5"/>
    <w:rsid w:val="002E444E"/>
    <w:rsid w:val="002E477D"/>
    <w:rsid w:val="002E4977"/>
    <w:rsid w:val="002E4DFE"/>
    <w:rsid w:val="002E4E72"/>
    <w:rsid w:val="002E4FD0"/>
    <w:rsid w:val="002E64EC"/>
    <w:rsid w:val="002E6680"/>
    <w:rsid w:val="002E70B4"/>
    <w:rsid w:val="002E7380"/>
    <w:rsid w:val="002F046B"/>
    <w:rsid w:val="002F1089"/>
    <w:rsid w:val="002F1C53"/>
    <w:rsid w:val="002F25D5"/>
    <w:rsid w:val="002F25F5"/>
    <w:rsid w:val="002F2ACD"/>
    <w:rsid w:val="002F2C30"/>
    <w:rsid w:val="002F30DA"/>
    <w:rsid w:val="002F35E2"/>
    <w:rsid w:val="002F3C9C"/>
    <w:rsid w:val="002F3CAE"/>
    <w:rsid w:val="002F3D0D"/>
    <w:rsid w:val="002F3DAD"/>
    <w:rsid w:val="002F4AA1"/>
    <w:rsid w:val="002F55B9"/>
    <w:rsid w:val="002F5C8A"/>
    <w:rsid w:val="002F62C5"/>
    <w:rsid w:val="002F63D0"/>
    <w:rsid w:val="002F647C"/>
    <w:rsid w:val="002F65B6"/>
    <w:rsid w:val="002F6C5D"/>
    <w:rsid w:val="002F6DDC"/>
    <w:rsid w:val="002F7D03"/>
    <w:rsid w:val="00301BEE"/>
    <w:rsid w:val="00302E22"/>
    <w:rsid w:val="00303CEB"/>
    <w:rsid w:val="00303ECC"/>
    <w:rsid w:val="0030406D"/>
    <w:rsid w:val="003040AC"/>
    <w:rsid w:val="00304659"/>
    <w:rsid w:val="003049B9"/>
    <w:rsid w:val="00304CAD"/>
    <w:rsid w:val="00304FB3"/>
    <w:rsid w:val="003053E2"/>
    <w:rsid w:val="00305C7A"/>
    <w:rsid w:val="00311E73"/>
    <w:rsid w:val="00312F4F"/>
    <w:rsid w:val="00313DFF"/>
    <w:rsid w:val="003148E2"/>
    <w:rsid w:val="00315266"/>
    <w:rsid w:val="003155DF"/>
    <w:rsid w:val="00315984"/>
    <w:rsid w:val="00315B81"/>
    <w:rsid w:val="00316EC1"/>
    <w:rsid w:val="003171D8"/>
    <w:rsid w:val="00317C42"/>
    <w:rsid w:val="0032178A"/>
    <w:rsid w:val="00322138"/>
    <w:rsid w:val="003225AA"/>
    <w:rsid w:val="003225F6"/>
    <w:rsid w:val="003233AF"/>
    <w:rsid w:val="00323DD9"/>
    <w:rsid w:val="00323E40"/>
    <w:rsid w:val="00323F11"/>
    <w:rsid w:val="00325C93"/>
    <w:rsid w:val="00326BED"/>
    <w:rsid w:val="00326D94"/>
    <w:rsid w:val="003270A8"/>
    <w:rsid w:val="003278BE"/>
    <w:rsid w:val="00327F2F"/>
    <w:rsid w:val="003312B4"/>
    <w:rsid w:val="00332010"/>
    <w:rsid w:val="00332500"/>
    <w:rsid w:val="003345AC"/>
    <w:rsid w:val="00334B87"/>
    <w:rsid w:val="0033534F"/>
    <w:rsid w:val="0033566F"/>
    <w:rsid w:val="00335E2F"/>
    <w:rsid w:val="003375BA"/>
    <w:rsid w:val="00337671"/>
    <w:rsid w:val="003404B8"/>
    <w:rsid w:val="003405B9"/>
    <w:rsid w:val="00340B9C"/>
    <w:rsid w:val="003411FF"/>
    <w:rsid w:val="00341808"/>
    <w:rsid w:val="00342CB6"/>
    <w:rsid w:val="0034346D"/>
    <w:rsid w:val="00343908"/>
    <w:rsid w:val="00343B44"/>
    <w:rsid w:val="003443E6"/>
    <w:rsid w:val="00344652"/>
    <w:rsid w:val="0034510E"/>
    <w:rsid w:val="003459C8"/>
    <w:rsid w:val="0034660F"/>
    <w:rsid w:val="00346B0B"/>
    <w:rsid w:val="003472C1"/>
    <w:rsid w:val="003502A0"/>
    <w:rsid w:val="00350BD6"/>
    <w:rsid w:val="00351794"/>
    <w:rsid w:val="003519D9"/>
    <w:rsid w:val="0035355E"/>
    <w:rsid w:val="003536A6"/>
    <w:rsid w:val="003536D5"/>
    <w:rsid w:val="00354177"/>
    <w:rsid w:val="003541D1"/>
    <w:rsid w:val="003542B0"/>
    <w:rsid w:val="0035501A"/>
    <w:rsid w:val="00356259"/>
    <w:rsid w:val="00356CD5"/>
    <w:rsid w:val="00356F91"/>
    <w:rsid w:val="003579AB"/>
    <w:rsid w:val="00357A42"/>
    <w:rsid w:val="0036029D"/>
    <w:rsid w:val="00360528"/>
    <w:rsid w:val="00360890"/>
    <w:rsid w:val="00360B91"/>
    <w:rsid w:val="003612A4"/>
    <w:rsid w:val="003615C2"/>
    <w:rsid w:val="0036166B"/>
    <w:rsid w:val="00361E0D"/>
    <w:rsid w:val="00362105"/>
    <w:rsid w:val="003629D1"/>
    <w:rsid w:val="00362F7E"/>
    <w:rsid w:val="0036307A"/>
    <w:rsid w:val="0036313C"/>
    <w:rsid w:val="00363DC2"/>
    <w:rsid w:val="00364D67"/>
    <w:rsid w:val="00364EAF"/>
    <w:rsid w:val="00365321"/>
    <w:rsid w:val="003655DC"/>
    <w:rsid w:val="003659C3"/>
    <w:rsid w:val="00365A5C"/>
    <w:rsid w:val="00365F3F"/>
    <w:rsid w:val="003669C2"/>
    <w:rsid w:val="003677E4"/>
    <w:rsid w:val="00367A86"/>
    <w:rsid w:val="00370604"/>
    <w:rsid w:val="00370EA2"/>
    <w:rsid w:val="00371081"/>
    <w:rsid w:val="00371CAB"/>
    <w:rsid w:val="003720ED"/>
    <w:rsid w:val="00372200"/>
    <w:rsid w:val="003735C6"/>
    <w:rsid w:val="003736CE"/>
    <w:rsid w:val="00373EA4"/>
    <w:rsid w:val="003741DE"/>
    <w:rsid w:val="00374B1F"/>
    <w:rsid w:val="00374D59"/>
    <w:rsid w:val="00374E68"/>
    <w:rsid w:val="00375726"/>
    <w:rsid w:val="0037576B"/>
    <w:rsid w:val="00376CD4"/>
    <w:rsid w:val="00376D03"/>
    <w:rsid w:val="00377438"/>
    <w:rsid w:val="003820EE"/>
    <w:rsid w:val="0038256D"/>
    <w:rsid w:val="00383561"/>
    <w:rsid w:val="00383602"/>
    <w:rsid w:val="00384797"/>
    <w:rsid w:val="003849EB"/>
    <w:rsid w:val="00384D18"/>
    <w:rsid w:val="0038533F"/>
    <w:rsid w:val="00386E5C"/>
    <w:rsid w:val="0038720A"/>
    <w:rsid w:val="00387602"/>
    <w:rsid w:val="00387A6A"/>
    <w:rsid w:val="00391A0D"/>
    <w:rsid w:val="00391DD4"/>
    <w:rsid w:val="003923A2"/>
    <w:rsid w:val="00392AD8"/>
    <w:rsid w:val="00394632"/>
    <w:rsid w:val="003947C1"/>
    <w:rsid w:val="003947D7"/>
    <w:rsid w:val="00394AC9"/>
    <w:rsid w:val="00395167"/>
    <w:rsid w:val="00396C3C"/>
    <w:rsid w:val="00397320"/>
    <w:rsid w:val="003979EF"/>
    <w:rsid w:val="00397A86"/>
    <w:rsid w:val="00397E92"/>
    <w:rsid w:val="00397EEE"/>
    <w:rsid w:val="003A0162"/>
    <w:rsid w:val="003A06DF"/>
    <w:rsid w:val="003A0D9D"/>
    <w:rsid w:val="003A1BB5"/>
    <w:rsid w:val="003A1D5A"/>
    <w:rsid w:val="003A23E9"/>
    <w:rsid w:val="003A251E"/>
    <w:rsid w:val="003A2B7B"/>
    <w:rsid w:val="003A33E3"/>
    <w:rsid w:val="003A35CE"/>
    <w:rsid w:val="003A35F9"/>
    <w:rsid w:val="003A4057"/>
    <w:rsid w:val="003A4EB2"/>
    <w:rsid w:val="003A4FD6"/>
    <w:rsid w:val="003A5810"/>
    <w:rsid w:val="003A58AA"/>
    <w:rsid w:val="003A6675"/>
    <w:rsid w:val="003A66E5"/>
    <w:rsid w:val="003A6ED8"/>
    <w:rsid w:val="003A71D9"/>
    <w:rsid w:val="003A743D"/>
    <w:rsid w:val="003A7C39"/>
    <w:rsid w:val="003B0029"/>
    <w:rsid w:val="003B2028"/>
    <w:rsid w:val="003B21AF"/>
    <w:rsid w:val="003B27A7"/>
    <w:rsid w:val="003B2A27"/>
    <w:rsid w:val="003B2B18"/>
    <w:rsid w:val="003B2F70"/>
    <w:rsid w:val="003B35F5"/>
    <w:rsid w:val="003B440E"/>
    <w:rsid w:val="003B5988"/>
    <w:rsid w:val="003B5B47"/>
    <w:rsid w:val="003B6A1B"/>
    <w:rsid w:val="003B744C"/>
    <w:rsid w:val="003B7ED4"/>
    <w:rsid w:val="003B7F45"/>
    <w:rsid w:val="003C0045"/>
    <w:rsid w:val="003C0241"/>
    <w:rsid w:val="003C1177"/>
    <w:rsid w:val="003C1A61"/>
    <w:rsid w:val="003C1A7F"/>
    <w:rsid w:val="003C3911"/>
    <w:rsid w:val="003C3C97"/>
    <w:rsid w:val="003C4ECB"/>
    <w:rsid w:val="003C509F"/>
    <w:rsid w:val="003C5804"/>
    <w:rsid w:val="003C6583"/>
    <w:rsid w:val="003C6E25"/>
    <w:rsid w:val="003C71C8"/>
    <w:rsid w:val="003C7652"/>
    <w:rsid w:val="003D019E"/>
    <w:rsid w:val="003D1747"/>
    <w:rsid w:val="003D19D5"/>
    <w:rsid w:val="003D2D26"/>
    <w:rsid w:val="003D2D27"/>
    <w:rsid w:val="003D3941"/>
    <w:rsid w:val="003D3F99"/>
    <w:rsid w:val="003D41F3"/>
    <w:rsid w:val="003D48D4"/>
    <w:rsid w:val="003D55EC"/>
    <w:rsid w:val="003D5665"/>
    <w:rsid w:val="003D6FF6"/>
    <w:rsid w:val="003D7101"/>
    <w:rsid w:val="003D7B7E"/>
    <w:rsid w:val="003D7E84"/>
    <w:rsid w:val="003E07CF"/>
    <w:rsid w:val="003E093F"/>
    <w:rsid w:val="003E16A9"/>
    <w:rsid w:val="003E176B"/>
    <w:rsid w:val="003E1C44"/>
    <w:rsid w:val="003E2265"/>
    <w:rsid w:val="003E2BBE"/>
    <w:rsid w:val="003E2D42"/>
    <w:rsid w:val="003E3935"/>
    <w:rsid w:val="003E4352"/>
    <w:rsid w:val="003E44BE"/>
    <w:rsid w:val="003E4D08"/>
    <w:rsid w:val="003E552E"/>
    <w:rsid w:val="003E5FE9"/>
    <w:rsid w:val="003E65C9"/>
    <w:rsid w:val="003E68F0"/>
    <w:rsid w:val="003E6BA0"/>
    <w:rsid w:val="003E6C27"/>
    <w:rsid w:val="003E6D01"/>
    <w:rsid w:val="003E6D80"/>
    <w:rsid w:val="003E7513"/>
    <w:rsid w:val="003E7680"/>
    <w:rsid w:val="003F02B2"/>
    <w:rsid w:val="003F0B84"/>
    <w:rsid w:val="003F1AEF"/>
    <w:rsid w:val="003F1D51"/>
    <w:rsid w:val="003F27AD"/>
    <w:rsid w:val="003F2BA2"/>
    <w:rsid w:val="003F2C9C"/>
    <w:rsid w:val="003F45C7"/>
    <w:rsid w:val="003F4890"/>
    <w:rsid w:val="003F5584"/>
    <w:rsid w:val="003F64ED"/>
    <w:rsid w:val="003F6C29"/>
    <w:rsid w:val="003F6E3D"/>
    <w:rsid w:val="003F7881"/>
    <w:rsid w:val="003F7B8E"/>
    <w:rsid w:val="003F7D00"/>
    <w:rsid w:val="0040092E"/>
    <w:rsid w:val="00401EDF"/>
    <w:rsid w:val="00402582"/>
    <w:rsid w:val="004027D4"/>
    <w:rsid w:val="00402986"/>
    <w:rsid w:val="00402AEB"/>
    <w:rsid w:val="00403525"/>
    <w:rsid w:val="004039F0"/>
    <w:rsid w:val="00403CC0"/>
    <w:rsid w:val="0040415B"/>
    <w:rsid w:val="00404274"/>
    <w:rsid w:val="00404336"/>
    <w:rsid w:val="004047BF"/>
    <w:rsid w:val="00404EB6"/>
    <w:rsid w:val="00405475"/>
    <w:rsid w:val="00406460"/>
    <w:rsid w:val="00406A38"/>
    <w:rsid w:val="00406F0A"/>
    <w:rsid w:val="00407067"/>
    <w:rsid w:val="0040760F"/>
    <w:rsid w:val="00407AD9"/>
    <w:rsid w:val="004106D1"/>
    <w:rsid w:val="00411F3B"/>
    <w:rsid w:val="00411FCD"/>
    <w:rsid w:val="0041241D"/>
    <w:rsid w:val="00412639"/>
    <w:rsid w:val="004127CC"/>
    <w:rsid w:val="00413FE9"/>
    <w:rsid w:val="00414859"/>
    <w:rsid w:val="00415074"/>
    <w:rsid w:val="00415285"/>
    <w:rsid w:val="004163B4"/>
    <w:rsid w:val="00416BA4"/>
    <w:rsid w:val="0041736D"/>
    <w:rsid w:val="00417592"/>
    <w:rsid w:val="004176B8"/>
    <w:rsid w:val="00417AAF"/>
    <w:rsid w:val="0042127A"/>
    <w:rsid w:val="00421283"/>
    <w:rsid w:val="00421324"/>
    <w:rsid w:val="004216A9"/>
    <w:rsid w:val="00421757"/>
    <w:rsid w:val="00422021"/>
    <w:rsid w:val="0042211C"/>
    <w:rsid w:val="00422153"/>
    <w:rsid w:val="004225CE"/>
    <w:rsid w:val="0042322D"/>
    <w:rsid w:val="00423EDA"/>
    <w:rsid w:val="00424278"/>
    <w:rsid w:val="00424362"/>
    <w:rsid w:val="0042495A"/>
    <w:rsid w:val="00424AD4"/>
    <w:rsid w:val="00424E0C"/>
    <w:rsid w:val="004251A9"/>
    <w:rsid w:val="0042548B"/>
    <w:rsid w:val="00425F1A"/>
    <w:rsid w:val="00425FA9"/>
    <w:rsid w:val="0042622D"/>
    <w:rsid w:val="00426EF4"/>
    <w:rsid w:val="00427E7B"/>
    <w:rsid w:val="004304EA"/>
    <w:rsid w:val="0043426C"/>
    <w:rsid w:val="00434456"/>
    <w:rsid w:val="0043544F"/>
    <w:rsid w:val="00435509"/>
    <w:rsid w:val="0043551B"/>
    <w:rsid w:val="00436025"/>
    <w:rsid w:val="00437493"/>
    <w:rsid w:val="00437540"/>
    <w:rsid w:val="0043756A"/>
    <w:rsid w:val="004375F7"/>
    <w:rsid w:val="00437975"/>
    <w:rsid w:val="00437A7F"/>
    <w:rsid w:val="00437B88"/>
    <w:rsid w:val="00440839"/>
    <w:rsid w:val="004408EA"/>
    <w:rsid w:val="0044099E"/>
    <w:rsid w:val="00440A58"/>
    <w:rsid w:val="00440FB6"/>
    <w:rsid w:val="00441F3C"/>
    <w:rsid w:val="00442323"/>
    <w:rsid w:val="00442BE7"/>
    <w:rsid w:val="004432C6"/>
    <w:rsid w:val="00443810"/>
    <w:rsid w:val="00443ABE"/>
    <w:rsid w:val="00443CA4"/>
    <w:rsid w:val="0044469A"/>
    <w:rsid w:val="004449B7"/>
    <w:rsid w:val="00444DC2"/>
    <w:rsid w:val="00445515"/>
    <w:rsid w:val="00445817"/>
    <w:rsid w:val="00445E18"/>
    <w:rsid w:val="00445EF6"/>
    <w:rsid w:val="004463E4"/>
    <w:rsid w:val="004464FA"/>
    <w:rsid w:val="00446989"/>
    <w:rsid w:val="004469DD"/>
    <w:rsid w:val="00447335"/>
    <w:rsid w:val="00447358"/>
    <w:rsid w:val="004473C8"/>
    <w:rsid w:val="004477F4"/>
    <w:rsid w:val="00447BCE"/>
    <w:rsid w:val="00447E21"/>
    <w:rsid w:val="00450EA5"/>
    <w:rsid w:val="00451DF3"/>
    <w:rsid w:val="00452170"/>
    <w:rsid w:val="0045270C"/>
    <w:rsid w:val="00452AA8"/>
    <w:rsid w:val="00452DC4"/>
    <w:rsid w:val="0045306C"/>
    <w:rsid w:val="00453806"/>
    <w:rsid w:val="00453834"/>
    <w:rsid w:val="0045383D"/>
    <w:rsid w:val="0045425B"/>
    <w:rsid w:val="004543BF"/>
    <w:rsid w:val="004543CC"/>
    <w:rsid w:val="0045495E"/>
    <w:rsid w:val="00455035"/>
    <w:rsid w:val="004556DF"/>
    <w:rsid w:val="004561BE"/>
    <w:rsid w:val="0045670D"/>
    <w:rsid w:val="00457472"/>
    <w:rsid w:val="0046069F"/>
    <w:rsid w:val="00460ED6"/>
    <w:rsid w:val="00460FE0"/>
    <w:rsid w:val="004612BD"/>
    <w:rsid w:val="004614BE"/>
    <w:rsid w:val="00461752"/>
    <w:rsid w:val="00461FC1"/>
    <w:rsid w:val="0046222A"/>
    <w:rsid w:val="004632E6"/>
    <w:rsid w:val="0046332B"/>
    <w:rsid w:val="00463530"/>
    <w:rsid w:val="00463844"/>
    <w:rsid w:val="00463BCC"/>
    <w:rsid w:val="00463E49"/>
    <w:rsid w:val="00463F25"/>
    <w:rsid w:val="0046475B"/>
    <w:rsid w:val="0046561F"/>
    <w:rsid w:val="00465A6A"/>
    <w:rsid w:val="00465D15"/>
    <w:rsid w:val="00467253"/>
    <w:rsid w:val="00467BC9"/>
    <w:rsid w:val="0047035C"/>
    <w:rsid w:val="0047129B"/>
    <w:rsid w:val="00472279"/>
    <w:rsid w:val="0047285A"/>
    <w:rsid w:val="00472AC0"/>
    <w:rsid w:val="004733BB"/>
    <w:rsid w:val="00473A57"/>
    <w:rsid w:val="00474B89"/>
    <w:rsid w:val="004756C9"/>
    <w:rsid w:val="0047643F"/>
    <w:rsid w:val="00476A6E"/>
    <w:rsid w:val="004777AE"/>
    <w:rsid w:val="00477926"/>
    <w:rsid w:val="004779B5"/>
    <w:rsid w:val="00477BD6"/>
    <w:rsid w:val="004802AB"/>
    <w:rsid w:val="00480492"/>
    <w:rsid w:val="00480AFD"/>
    <w:rsid w:val="004823BF"/>
    <w:rsid w:val="004825C6"/>
    <w:rsid w:val="0048261D"/>
    <w:rsid w:val="004832CE"/>
    <w:rsid w:val="004837AB"/>
    <w:rsid w:val="00483B09"/>
    <w:rsid w:val="00483C82"/>
    <w:rsid w:val="00483F8A"/>
    <w:rsid w:val="00484D4E"/>
    <w:rsid w:val="0048532F"/>
    <w:rsid w:val="004855AC"/>
    <w:rsid w:val="00485E89"/>
    <w:rsid w:val="00487725"/>
    <w:rsid w:val="00487AEB"/>
    <w:rsid w:val="00487DBC"/>
    <w:rsid w:val="00490207"/>
    <w:rsid w:val="00491387"/>
    <w:rsid w:val="004922B6"/>
    <w:rsid w:val="00493463"/>
    <w:rsid w:val="004949B2"/>
    <w:rsid w:val="0049553E"/>
    <w:rsid w:val="00495551"/>
    <w:rsid w:val="00495DED"/>
    <w:rsid w:val="00495E3A"/>
    <w:rsid w:val="004962D8"/>
    <w:rsid w:val="00496650"/>
    <w:rsid w:val="00496BE8"/>
    <w:rsid w:val="00497B9B"/>
    <w:rsid w:val="00497CBE"/>
    <w:rsid w:val="00497D7B"/>
    <w:rsid w:val="004A006B"/>
    <w:rsid w:val="004A0095"/>
    <w:rsid w:val="004A0705"/>
    <w:rsid w:val="004A085E"/>
    <w:rsid w:val="004A1920"/>
    <w:rsid w:val="004A1BD8"/>
    <w:rsid w:val="004A282E"/>
    <w:rsid w:val="004A289F"/>
    <w:rsid w:val="004A303C"/>
    <w:rsid w:val="004A3942"/>
    <w:rsid w:val="004A41D5"/>
    <w:rsid w:val="004A455D"/>
    <w:rsid w:val="004A4E6C"/>
    <w:rsid w:val="004A5AC1"/>
    <w:rsid w:val="004A60A4"/>
    <w:rsid w:val="004A60DF"/>
    <w:rsid w:val="004A68D0"/>
    <w:rsid w:val="004A7D36"/>
    <w:rsid w:val="004B0DBD"/>
    <w:rsid w:val="004B232E"/>
    <w:rsid w:val="004B2405"/>
    <w:rsid w:val="004B27F6"/>
    <w:rsid w:val="004B3557"/>
    <w:rsid w:val="004B385F"/>
    <w:rsid w:val="004B3C86"/>
    <w:rsid w:val="004B4805"/>
    <w:rsid w:val="004B4C51"/>
    <w:rsid w:val="004B4E58"/>
    <w:rsid w:val="004B4ED5"/>
    <w:rsid w:val="004B5249"/>
    <w:rsid w:val="004B5FCF"/>
    <w:rsid w:val="004B6222"/>
    <w:rsid w:val="004B6226"/>
    <w:rsid w:val="004C057D"/>
    <w:rsid w:val="004C0A2D"/>
    <w:rsid w:val="004C0B9C"/>
    <w:rsid w:val="004C0EB6"/>
    <w:rsid w:val="004C14EB"/>
    <w:rsid w:val="004C1815"/>
    <w:rsid w:val="004C242C"/>
    <w:rsid w:val="004C2704"/>
    <w:rsid w:val="004C2881"/>
    <w:rsid w:val="004C28B3"/>
    <w:rsid w:val="004C2A4E"/>
    <w:rsid w:val="004C2C1C"/>
    <w:rsid w:val="004C358A"/>
    <w:rsid w:val="004C3F69"/>
    <w:rsid w:val="004C43EB"/>
    <w:rsid w:val="004C465E"/>
    <w:rsid w:val="004C4A5A"/>
    <w:rsid w:val="004C4AFE"/>
    <w:rsid w:val="004C5595"/>
    <w:rsid w:val="004C6180"/>
    <w:rsid w:val="004C6D39"/>
    <w:rsid w:val="004D014F"/>
    <w:rsid w:val="004D07DB"/>
    <w:rsid w:val="004D1F78"/>
    <w:rsid w:val="004D2CB9"/>
    <w:rsid w:val="004D3748"/>
    <w:rsid w:val="004D5B1B"/>
    <w:rsid w:val="004D614F"/>
    <w:rsid w:val="004D6813"/>
    <w:rsid w:val="004D6AB2"/>
    <w:rsid w:val="004D7597"/>
    <w:rsid w:val="004D7867"/>
    <w:rsid w:val="004D7897"/>
    <w:rsid w:val="004E00AB"/>
    <w:rsid w:val="004E014E"/>
    <w:rsid w:val="004E06AF"/>
    <w:rsid w:val="004E1594"/>
    <w:rsid w:val="004E1AD5"/>
    <w:rsid w:val="004E1B75"/>
    <w:rsid w:val="004E3019"/>
    <w:rsid w:val="004E37D6"/>
    <w:rsid w:val="004E37E9"/>
    <w:rsid w:val="004E3FD0"/>
    <w:rsid w:val="004E4ABB"/>
    <w:rsid w:val="004E4CD7"/>
    <w:rsid w:val="004E5738"/>
    <w:rsid w:val="004E7530"/>
    <w:rsid w:val="004E79CD"/>
    <w:rsid w:val="004E7C20"/>
    <w:rsid w:val="004F0141"/>
    <w:rsid w:val="004F11A9"/>
    <w:rsid w:val="004F1237"/>
    <w:rsid w:val="004F2B51"/>
    <w:rsid w:val="004F3397"/>
    <w:rsid w:val="004F3D53"/>
    <w:rsid w:val="004F3F9F"/>
    <w:rsid w:val="004F4692"/>
    <w:rsid w:val="004F59D2"/>
    <w:rsid w:val="004F5F76"/>
    <w:rsid w:val="004F6013"/>
    <w:rsid w:val="004F68A9"/>
    <w:rsid w:val="00500D8F"/>
    <w:rsid w:val="00500F74"/>
    <w:rsid w:val="00502C2B"/>
    <w:rsid w:val="005035C8"/>
    <w:rsid w:val="0050362F"/>
    <w:rsid w:val="00503B34"/>
    <w:rsid w:val="00504667"/>
    <w:rsid w:val="00504F64"/>
    <w:rsid w:val="00505E68"/>
    <w:rsid w:val="00506028"/>
    <w:rsid w:val="00506220"/>
    <w:rsid w:val="00507B6B"/>
    <w:rsid w:val="00511C3F"/>
    <w:rsid w:val="00511CEB"/>
    <w:rsid w:val="0051270C"/>
    <w:rsid w:val="00513043"/>
    <w:rsid w:val="005137D4"/>
    <w:rsid w:val="00513C3D"/>
    <w:rsid w:val="0051459B"/>
    <w:rsid w:val="005147E2"/>
    <w:rsid w:val="00514DD7"/>
    <w:rsid w:val="005154D7"/>
    <w:rsid w:val="00515706"/>
    <w:rsid w:val="00515C04"/>
    <w:rsid w:val="00516063"/>
    <w:rsid w:val="00517FBB"/>
    <w:rsid w:val="0052055D"/>
    <w:rsid w:val="005212B1"/>
    <w:rsid w:val="00521331"/>
    <w:rsid w:val="005219C2"/>
    <w:rsid w:val="00522E05"/>
    <w:rsid w:val="005234E4"/>
    <w:rsid w:val="0052355F"/>
    <w:rsid w:val="00523654"/>
    <w:rsid w:val="00523695"/>
    <w:rsid w:val="00524751"/>
    <w:rsid w:val="005254EB"/>
    <w:rsid w:val="00525855"/>
    <w:rsid w:val="00525A67"/>
    <w:rsid w:val="00527A13"/>
    <w:rsid w:val="00530D0A"/>
    <w:rsid w:val="0053187C"/>
    <w:rsid w:val="00531C98"/>
    <w:rsid w:val="00533845"/>
    <w:rsid w:val="0053396F"/>
    <w:rsid w:val="00533DF2"/>
    <w:rsid w:val="00534EF5"/>
    <w:rsid w:val="005362A0"/>
    <w:rsid w:val="00536990"/>
    <w:rsid w:val="00536F46"/>
    <w:rsid w:val="00537D74"/>
    <w:rsid w:val="00537FB9"/>
    <w:rsid w:val="00540ED9"/>
    <w:rsid w:val="00541630"/>
    <w:rsid w:val="005421B6"/>
    <w:rsid w:val="005421B9"/>
    <w:rsid w:val="0054229B"/>
    <w:rsid w:val="0054254F"/>
    <w:rsid w:val="00542BCA"/>
    <w:rsid w:val="00543098"/>
    <w:rsid w:val="0054323E"/>
    <w:rsid w:val="00543276"/>
    <w:rsid w:val="0054383D"/>
    <w:rsid w:val="005456A4"/>
    <w:rsid w:val="00545862"/>
    <w:rsid w:val="00545EF6"/>
    <w:rsid w:val="0054632E"/>
    <w:rsid w:val="00546F5B"/>
    <w:rsid w:val="005473E7"/>
    <w:rsid w:val="00550437"/>
    <w:rsid w:val="00551721"/>
    <w:rsid w:val="00551D96"/>
    <w:rsid w:val="00553314"/>
    <w:rsid w:val="005540B9"/>
    <w:rsid w:val="005548BD"/>
    <w:rsid w:val="00554E84"/>
    <w:rsid w:val="00555582"/>
    <w:rsid w:val="00555707"/>
    <w:rsid w:val="005557A1"/>
    <w:rsid w:val="00556789"/>
    <w:rsid w:val="005568EE"/>
    <w:rsid w:val="00556A19"/>
    <w:rsid w:val="00556CE6"/>
    <w:rsid w:val="00556FA6"/>
    <w:rsid w:val="005574A6"/>
    <w:rsid w:val="00557784"/>
    <w:rsid w:val="00557888"/>
    <w:rsid w:val="00557BE8"/>
    <w:rsid w:val="00560744"/>
    <w:rsid w:val="00560941"/>
    <w:rsid w:val="00560C9E"/>
    <w:rsid w:val="0056168A"/>
    <w:rsid w:val="00562116"/>
    <w:rsid w:val="0056303D"/>
    <w:rsid w:val="005648D6"/>
    <w:rsid w:val="00564B00"/>
    <w:rsid w:val="00564FCF"/>
    <w:rsid w:val="00565755"/>
    <w:rsid w:val="00565786"/>
    <w:rsid w:val="00565F33"/>
    <w:rsid w:val="0056655F"/>
    <w:rsid w:val="0056678A"/>
    <w:rsid w:val="00566B43"/>
    <w:rsid w:val="00567885"/>
    <w:rsid w:val="005705B2"/>
    <w:rsid w:val="00570845"/>
    <w:rsid w:val="00570F82"/>
    <w:rsid w:val="005715E6"/>
    <w:rsid w:val="00572022"/>
    <w:rsid w:val="0057205D"/>
    <w:rsid w:val="005727D4"/>
    <w:rsid w:val="00572AEC"/>
    <w:rsid w:val="00572B38"/>
    <w:rsid w:val="005730EE"/>
    <w:rsid w:val="00573442"/>
    <w:rsid w:val="005746A0"/>
    <w:rsid w:val="00574786"/>
    <w:rsid w:val="005749A7"/>
    <w:rsid w:val="00574C62"/>
    <w:rsid w:val="00574FA8"/>
    <w:rsid w:val="0057502B"/>
    <w:rsid w:val="005755A2"/>
    <w:rsid w:val="005755BF"/>
    <w:rsid w:val="005756BD"/>
    <w:rsid w:val="005759D8"/>
    <w:rsid w:val="00577799"/>
    <w:rsid w:val="00580437"/>
    <w:rsid w:val="00580558"/>
    <w:rsid w:val="00581162"/>
    <w:rsid w:val="00581270"/>
    <w:rsid w:val="005817ED"/>
    <w:rsid w:val="00582808"/>
    <w:rsid w:val="00582DC0"/>
    <w:rsid w:val="005835C3"/>
    <w:rsid w:val="0058375A"/>
    <w:rsid w:val="00583B6D"/>
    <w:rsid w:val="00584D91"/>
    <w:rsid w:val="00585F96"/>
    <w:rsid w:val="00586566"/>
    <w:rsid w:val="00586E36"/>
    <w:rsid w:val="00586FFC"/>
    <w:rsid w:val="005876A0"/>
    <w:rsid w:val="00587D2E"/>
    <w:rsid w:val="0059023B"/>
    <w:rsid w:val="00590345"/>
    <w:rsid w:val="00592472"/>
    <w:rsid w:val="00592B8E"/>
    <w:rsid w:val="00593E48"/>
    <w:rsid w:val="0059541B"/>
    <w:rsid w:val="00595890"/>
    <w:rsid w:val="00595DFB"/>
    <w:rsid w:val="005968B7"/>
    <w:rsid w:val="005976C1"/>
    <w:rsid w:val="005A0203"/>
    <w:rsid w:val="005A0358"/>
    <w:rsid w:val="005A1776"/>
    <w:rsid w:val="005A41BC"/>
    <w:rsid w:val="005A456B"/>
    <w:rsid w:val="005A4B47"/>
    <w:rsid w:val="005A5899"/>
    <w:rsid w:val="005A5968"/>
    <w:rsid w:val="005A64CD"/>
    <w:rsid w:val="005A6ABF"/>
    <w:rsid w:val="005A6C04"/>
    <w:rsid w:val="005A6E26"/>
    <w:rsid w:val="005A6FE2"/>
    <w:rsid w:val="005A7100"/>
    <w:rsid w:val="005A79CC"/>
    <w:rsid w:val="005B073D"/>
    <w:rsid w:val="005B0C40"/>
    <w:rsid w:val="005B121C"/>
    <w:rsid w:val="005B143B"/>
    <w:rsid w:val="005B1B69"/>
    <w:rsid w:val="005B1F50"/>
    <w:rsid w:val="005B2AF4"/>
    <w:rsid w:val="005B2CE0"/>
    <w:rsid w:val="005B2F32"/>
    <w:rsid w:val="005B4A53"/>
    <w:rsid w:val="005B4AA4"/>
    <w:rsid w:val="005B6123"/>
    <w:rsid w:val="005B6ADF"/>
    <w:rsid w:val="005B7270"/>
    <w:rsid w:val="005B7698"/>
    <w:rsid w:val="005B7AA5"/>
    <w:rsid w:val="005C0F88"/>
    <w:rsid w:val="005C2152"/>
    <w:rsid w:val="005C23C5"/>
    <w:rsid w:val="005C44FB"/>
    <w:rsid w:val="005C4E2D"/>
    <w:rsid w:val="005C5317"/>
    <w:rsid w:val="005C544F"/>
    <w:rsid w:val="005C58BA"/>
    <w:rsid w:val="005C5BCD"/>
    <w:rsid w:val="005C60AB"/>
    <w:rsid w:val="005C68D5"/>
    <w:rsid w:val="005C78B3"/>
    <w:rsid w:val="005D0F99"/>
    <w:rsid w:val="005D106F"/>
    <w:rsid w:val="005D18B6"/>
    <w:rsid w:val="005D1C88"/>
    <w:rsid w:val="005D244C"/>
    <w:rsid w:val="005D2CAC"/>
    <w:rsid w:val="005D3DEE"/>
    <w:rsid w:val="005D3EE2"/>
    <w:rsid w:val="005D4183"/>
    <w:rsid w:val="005D4977"/>
    <w:rsid w:val="005D4D8A"/>
    <w:rsid w:val="005D4DB7"/>
    <w:rsid w:val="005D69C3"/>
    <w:rsid w:val="005D7578"/>
    <w:rsid w:val="005D7C86"/>
    <w:rsid w:val="005E0160"/>
    <w:rsid w:val="005E0FE9"/>
    <w:rsid w:val="005E1132"/>
    <w:rsid w:val="005E173B"/>
    <w:rsid w:val="005E1C86"/>
    <w:rsid w:val="005E2FA8"/>
    <w:rsid w:val="005E627E"/>
    <w:rsid w:val="005E6734"/>
    <w:rsid w:val="005E685D"/>
    <w:rsid w:val="005E6A79"/>
    <w:rsid w:val="005F1281"/>
    <w:rsid w:val="005F1430"/>
    <w:rsid w:val="005F2C82"/>
    <w:rsid w:val="005F2E3F"/>
    <w:rsid w:val="005F383A"/>
    <w:rsid w:val="005F3954"/>
    <w:rsid w:val="005F494B"/>
    <w:rsid w:val="005F512B"/>
    <w:rsid w:val="005F5711"/>
    <w:rsid w:val="005F5F04"/>
    <w:rsid w:val="005F66D1"/>
    <w:rsid w:val="005F6ACD"/>
    <w:rsid w:val="00600132"/>
    <w:rsid w:val="006007D6"/>
    <w:rsid w:val="00601201"/>
    <w:rsid w:val="0060137D"/>
    <w:rsid w:val="006017BB"/>
    <w:rsid w:val="00601D4D"/>
    <w:rsid w:val="00601E05"/>
    <w:rsid w:val="00602F2F"/>
    <w:rsid w:val="00603A61"/>
    <w:rsid w:val="00603B17"/>
    <w:rsid w:val="00603E12"/>
    <w:rsid w:val="006045C5"/>
    <w:rsid w:val="00605141"/>
    <w:rsid w:val="006051AF"/>
    <w:rsid w:val="00605C51"/>
    <w:rsid w:val="00607DD1"/>
    <w:rsid w:val="00611B0E"/>
    <w:rsid w:val="00612914"/>
    <w:rsid w:val="00612FE3"/>
    <w:rsid w:val="00613EF1"/>
    <w:rsid w:val="00614DEA"/>
    <w:rsid w:val="0061544F"/>
    <w:rsid w:val="00615618"/>
    <w:rsid w:val="00617813"/>
    <w:rsid w:val="00617EAE"/>
    <w:rsid w:val="006200EC"/>
    <w:rsid w:val="00620E4A"/>
    <w:rsid w:val="00621791"/>
    <w:rsid w:val="00621CE5"/>
    <w:rsid w:val="00621E9B"/>
    <w:rsid w:val="00622ACC"/>
    <w:rsid w:val="00622D42"/>
    <w:rsid w:val="00623154"/>
    <w:rsid w:val="006234E7"/>
    <w:rsid w:val="0062371F"/>
    <w:rsid w:val="006237F0"/>
    <w:rsid w:val="00623AE2"/>
    <w:rsid w:val="00623C31"/>
    <w:rsid w:val="00624C32"/>
    <w:rsid w:val="00624CE3"/>
    <w:rsid w:val="00625018"/>
    <w:rsid w:val="006251DF"/>
    <w:rsid w:val="0062576E"/>
    <w:rsid w:val="006268EA"/>
    <w:rsid w:val="00626EFE"/>
    <w:rsid w:val="006276EE"/>
    <w:rsid w:val="006303F8"/>
    <w:rsid w:val="00630A55"/>
    <w:rsid w:val="00631007"/>
    <w:rsid w:val="0063122B"/>
    <w:rsid w:val="006326FE"/>
    <w:rsid w:val="00633A90"/>
    <w:rsid w:val="0063402C"/>
    <w:rsid w:val="0063422A"/>
    <w:rsid w:val="00634A76"/>
    <w:rsid w:val="00635871"/>
    <w:rsid w:val="00635F13"/>
    <w:rsid w:val="006364A4"/>
    <w:rsid w:val="00636C40"/>
    <w:rsid w:val="00636F5B"/>
    <w:rsid w:val="006373EE"/>
    <w:rsid w:val="0063757E"/>
    <w:rsid w:val="00640263"/>
    <w:rsid w:val="00640B54"/>
    <w:rsid w:val="00640C8B"/>
    <w:rsid w:val="00640EE7"/>
    <w:rsid w:val="00641585"/>
    <w:rsid w:val="0064167F"/>
    <w:rsid w:val="006419FF"/>
    <w:rsid w:val="00642357"/>
    <w:rsid w:val="006427FC"/>
    <w:rsid w:val="00642ED3"/>
    <w:rsid w:val="0064310B"/>
    <w:rsid w:val="0064331E"/>
    <w:rsid w:val="00643D50"/>
    <w:rsid w:val="00643EA4"/>
    <w:rsid w:val="006440A2"/>
    <w:rsid w:val="006446A6"/>
    <w:rsid w:val="006450C2"/>
    <w:rsid w:val="00645213"/>
    <w:rsid w:val="0064550E"/>
    <w:rsid w:val="00645A4F"/>
    <w:rsid w:val="00645C03"/>
    <w:rsid w:val="00646421"/>
    <w:rsid w:val="00646424"/>
    <w:rsid w:val="00646938"/>
    <w:rsid w:val="006477F3"/>
    <w:rsid w:val="00650C8D"/>
    <w:rsid w:val="00650DF8"/>
    <w:rsid w:val="00652215"/>
    <w:rsid w:val="006526A1"/>
    <w:rsid w:val="00653354"/>
    <w:rsid w:val="00653419"/>
    <w:rsid w:val="00653845"/>
    <w:rsid w:val="00653E91"/>
    <w:rsid w:val="00653EC5"/>
    <w:rsid w:val="006559AC"/>
    <w:rsid w:val="00656B85"/>
    <w:rsid w:val="00656CBC"/>
    <w:rsid w:val="00656EA7"/>
    <w:rsid w:val="0065733C"/>
    <w:rsid w:val="006574EF"/>
    <w:rsid w:val="00657610"/>
    <w:rsid w:val="00657C1F"/>
    <w:rsid w:val="006605C7"/>
    <w:rsid w:val="00660EFB"/>
    <w:rsid w:val="0066117F"/>
    <w:rsid w:val="00661695"/>
    <w:rsid w:val="00662DF2"/>
    <w:rsid w:val="00662ECF"/>
    <w:rsid w:val="00664844"/>
    <w:rsid w:val="00664DD3"/>
    <w:rsid w:val="00665CEB"/>
    <w:rsid w:val="00665F03"/>
    <w:rsid w:val="00666384"/>
    <w:rsid w:val="00666E06"/>
    <w:rsid w:val="00666F89"/>
    <w:rsid w:val="006678F2"/>
    <w:rsid w:val="00670776"/>
    <w:rsid w:val="00670D7F"/>
    <w:rsid w:val="0067163F"/>
    <w:rsid w:val="00672058"/>
    <w:rsid w:val="006721D7"/>
    <w:rsid w:val="006722DB"/>
    <w:rsid w:val="006726FB"/>
    <w:rsid w:val="00673220"/>
    <w:rsid w:val="0067359C"/>
    <w:rsid w:val="00673B41"/>
    <w:rsid w:val="00673D11"/>
    <w:rsid w:val="00673F52"/>
    <w:rsid w:val="00674E83"/>
    <w:rsid w:val="00675F2D"/>
    <w:rsid w:val="006763C5"/>
    <w:rsid w:val="0067660E"/>
    <w:rsid w:val="00676BDE"/>
    <w:rsid w:val="006771FC"/>
    <w:rsid w:val="0067773F"/>
    <w:rsid w:val="00677BB8"/>
    <w:rsid w:val="00680B0D"/>
    <w:rsid w:val="00680CD5"/>
    <w:rsid w:val="00681332"/>
    <w:rsid w:val="00681E0E"/>
    <w:rsid w:val="0068261C"/>
    <w:rsid w:val="00682A99"/>
    <w:rsid w:val="00683AEF"/>
    <w:rsid w:val="0068418D"/>
    <w:rsid w:val="0068450E"/>
    <w:rsid w:val="00684A4E"/>
    <w:rsid w:val="00685A13"/>
    <w:rsid w:val="00685F16"/>
    <w:rsid w:val="00686007"/>
    <w:rsid w:val="0068626A"/>
    <w:rsid w:val="006862FE"/>
    <w:rsid w:val="006865A9"/>
    <w:rsid w:val="0068678B"/>
    <w:rsid w:val="00686D7C"/>
    <w:rsid w:val="0068746E"/>
    <w:rsid w:val="00687949"/>
    <w:rsid w:val="00687FC1"/>
    <w:rsid w:val="00690516"/>
    <w:rsid w:val="00690AB6"/>
    <w:rsid w:val="006914FB"/>
    <w:rsid w:val="00692632"/>
    <w:rsid w:val="006929BB"/>
    <w:rsid w:val="00693223"/>
    <w:rsid w:val="0069413C"/>
    <w:rsid w:val="00694C8F"/>
    <w:rsid w:val="00695DB2"/>
    <w:rsid w:val="00695F66"/>
    <w:rsid w:val="00695FD6"/>
    <w:rsid w:val="0069680F"/>
    <w:rsid w:val="006969CA"/>
    <w:rsid w:val="00696DA6"/>
    <w:rsid w:val="00696EFF"/>
    <w:rsid w:val="0069702A"/>
    <w:rsid w:val="00697672"/>
    <w:rsid w:val="006A0071"/>
    <w:rsid w:val="006A14BD"/>
    <w:rsid w:val="006A179C"/>
    <w:rsid w:val="006A35B8"/>
    <w:rsid w:val="006A415D"/>
    <w:rsid w:val="006A41B8"/>
    <w:rsid w:val="006A4472"/>
    <w:rsid w:val="006A4F15"/>
    <w:rsid w:val="006A5026"/>
    <w:rsid w:val="006A5088"/>
    <w:rsid w:val="006A53EF"/>
    <w:rsid w:val="006A5E10"/>
    <w:rsid w:val="006A60F3"/>
    <w:rsid w:val="006A64E5"/>
    <w:rsid w:val="006A76E2"/>
    <w:rsid w:val="006A78B3"/>
    <w:rsid w:val="006B01B9"/>
    <w:rsid w:val="006B0CF0"/>
    <w:rsid w:val="006B0D61"/>
    <w:rsid w:val="006B1174"/>
    <w:rsid w:val="006B1587"/>
    <w:rsid w:val="006B1E1F"/>
    <w:rsid w:val="006B2120"/>
    <w:rsid w:val="006B29E9"/>
    <w:rsid w:val="006B2CDB"/>
    <w:rsid w:val="006B2FB5"/>
    <w:rsid w:val="006B36FC"/>
    <w:rsid w:val="006B395E"/>
    <w:rsid w:val="006B3CA6"/>
    <w:rsid w:val="006B3DE2"/>
    <w:rsid w:val="006B3EFF"/>
    <w:rsid w:val="006B3FEE"/>
    <w:rsid w:val="006B5CEB"/>
    <w:rsid w:val="006B669A"/>
    <w:rsid w:val="006B6E88"/>
    <w:rsid w:val="006B700F"/>
    <w:rsid w:val="006B7013"/>
    <w:rsid w:val="006B7639"/>
    <w:rsid w:val="006C0069"/>
    <w:rsid w:val="006C0373"/>
    <w:rsid w:val="006C19B4"/>
    <w:rsid w:val="006C1BF8"/>
    <w:rsid w:val="006C1F7B"/>
    <w:rsid w:val="006C21D2"/>
    <w:rsid w:val="006C2585"/>
    <w:rsid w:val="006C3339"/>
    <w:rsid w:val="006C367B"/>
    <w:rsid w:val="006C45DA"/>
    <w:rsid w:val="006C50D0"/>
    <w:rsid w:val="006C65F5"/>
    <w:rsid w:val="006C7BBD"/>
    <w:rsid w:val="006C7DDE"/>
    <w:rsid w:val="006D0547"/>
    <w:rsid w:val="006D1750"/>
    <w:rsid w:val="006D1A86"/>
    <w:rsid w:val="006D233C"/>
    <w:rsid w:val="006D25AB"/>
    <w:rsid w:val="006D26CF"/>
    <w:rsid w:val="006D29DE"/>
    <w:rsid w:val="006D2DAA"/>
    <w:rsid w:val="006D3103"/>
    <w:rsid w:val="006D3298"/>
    <w:rsid w:val="006D336B"/>
    <w:rsid w:val="006D3A6C"/>
    <w:rsid w:val="006D3EC5"/>
    <w:rsid w:val="006D45E1"/>
    <w:rsid w:val="006D4755"/>
    <w:rsid w:val="006D5D9A"/>
    <w:rsid w:val="006D6230"/>
    <w:rsid w:val="006D63E1"/>
    <w:rsid w:val="006D657A"/>
    <w:rsid w:val="006D7A15"/>
    <w:rsid w:val="006E0234"/>
    <w:rsid w:val="006E03BE"/>
    <w:rsid w:val="006E0628"/>
    <w:rsid w:val="006E0C84"/>
    <w:rsid w:val="006E0D6B"/>
    <w:rsid w:val="006E20A7"/>
    <w:rsid w:val="006E20EE"/>
    <w:rsid w:val="006E2CC9"/>
    <w:rsid w:val="006E333F"/>
    <w:rsid w:val="006E3634"/>
    <w:rsid w:val="006E41DD"/>
    <w:rsid w:val="006E4F7F"/>
    <w:rsid w:val="006E52DA"/>
    <w:rsid w:val="006E64AE"/>
    <w:rsid w:val="006E6892"/>
    <w:rsid w:val="006E6F24"/>
    <w:rsid w:val="006E719B"/>
    <w:rsid w:val="006E7387"/>
    <w:rsid w:val="006E7A83"/>
    <w:rsid w:val="006F0650"/>
    <w:rsid w:val="006F0B28"/>
    <w:rsid w:val="006F13BE"/>
    <w:rsid w:val="006F19AE"/>
    <w:rsid w:val="006F216B"/>
    <w:rsid w:val="006F291D"/>
    <w:rsid w:val="006F45D6"/>
    <w:rsid w:val="006F4801"/>
    <w:rsid w:val="006F4847"/>
    <w:rsid w:val="006F507E"/>
    <w:rsid w:val="006F535A"/>
    <w:rsid w:val="006F55BB"/>
    <w:rsid w:val="006F5C76"/>
    <w:rsid w:val="006F5E00"/>
    <w:rsid w:val="006F623A"/>
    <w:rsid w:val="006F75C1"/>
    <w:rsid w:val="00700187"/>
    <w:rsid w:val="007004D5"/>
    <w:rsid w:val="00700CA2"/>
    <w:rsid w:val="00701E2C"/>
    <w:rsid w:val="0070230F"/>
    <w:rsid w:val="00702A7E"/>
    <w:rsid w:val="00702DFD"/>
    <w:rsid w:val="0070316D"/>
    <w:rsid w:val="00703E10"/>
    <w:rsid w:val="007044DA"/>
    <w:rsid w:val="00704D5E"/>
    <w:rsid w:val="00704FE9"/>
    <w:rsid w:val="0070523D"/>
    <w:rsid w:val="00705713"/>
    <w:rsid w:val="0070591B"/>
    <w:rsid w:val="00706882"/>
    <w:rsid w:val="00707771"/>
    <w:rsid w:val="00707BDE"/>
    <w:rsid w:val="00707DCB"/>
    <w:rsid w:val="00710223"/>
    <w:rsid w:val="00710358"/>
    <w:rsid w:val="00710816"/>
    <w:rsid w:val="00710891"/>
    <w:rsid w:val="007109EB"/>
    <w:rsid w:val="00710E8D"/>
    <w:rsid w:val="0071114E"/>
    <w:rsid w:val="00711521"/>
    <w:rsid w:val="007115AD"/>
    <w:rsid w:val="00712928"/>
    <w:rsid w:val="00712DA1"/>
    <w:rsid w:val="00712ECE"/>
    <w:rsid w:val="007134A4"/>
    <w:rsid w:val="007137F3"/>
    <w:rsid w:val="00713B2C"/>
    <w:rsid w:val="00713DE8"/>
    <w:rsid w:val="00713FE4"/>
    <w:rsid w:val="007145F2"/>
    <w:rsid w:val="00714795"/>
    <w:rsid w:val="00715B84"/>
    <w:rsid w:val="00715FAC"/>
    <w:rsid w:val="00715FE2"/>
    <w:rsid w:val="00717D11"/>
    <w:rsid w:val="00720097"/>
    <w:rsid w:val="00720C38"/>
    <w:rsid w:val="00721C3B"/>
    <w:rsid w:val="00721DBE"/>
    <w:rsid w:val="00721F2B"/>
    <w:rsid w:val="00722800"/>
    <w:rsid w:val="00722A98"/>
    <w:rsid w:val="0072357C"/>
    <w:rsid w:val="00723861"/>
    <w:rsid w:val="00723AD0"/>
    <w:rsid w:val="00723F55"/>
    <w:rsid w:val="007247F1"/>
    <w:rsid w:val="00724E7D"/>
    <w:rsid w:val="00725528"/>
    <w:rsid w:val="00726525"/>
    <w:rsid w:val="0072705C"/>
    <w:rsid w:val="00727B39"/>
    <w:rsid w:val="00730693"/>
    <w:rsid w:val="0073087C"/>
    <w:rsid w:val="007319AA"/>
    <w:rsid w:val="00731C86"/>
    <w:rsid w:val="00732646"/>
    <w:rsid w:val="00732F6F"/>
    <w:rsid w:val="00733524"/>
    <w:rsid w:val="007335AA"/>
    <w:rsid w:val="00733C28"/>
    <w:rsid w:val="00734F11"/>
    <w:rsid w:val="0073560E"/>
    <w:rsid w:val="007357B6"/>
    <w:rsid w:val="0073585F"/>
    <w:rsid w:val="00735911"/>
    <w:rsid w:val="00735F67"/>
    <w:rsid w:val="007364C7"/>
    <w:rsid w:val="00736B51"/>
    <w:rsid w:val="00736D8C"/>
    <w:rsid w:val="007379D6"/>
    <w:rsid w:val="00737C3F"/>
    <w:rsid w:val="00737E8D"/>
    <w:rsid w:val="00740F76"/>
    <w:rsid w:val="0074170F"/>
    <w:rsid w:val="00742C51"/>
    <w:rsid w:val="00742FDD"/>
    <w:rsid w:val="00743A00"/>
    <w:rsid w:val="00743D5B"/>
    <w:rsid w:val="00744650"/>
    <w:rsid w:val="007454B7"/>
    <w:rsid w:val="0075020C"/>
    <w:rsid w:val="0075119A"/>
    <w:rsid w:val="007512E6"/>
    <w:rsid w:val="00751B66"/>
    <w:rsid w:val="00752044"/>
    <w:rsid w:val="00752565"/>
    <w:rsid w:val="0075259C"/>
    <w:rsid w:val="00752662"/>
    <w:rsid w:val="00752B35"/>
    <w:rsid w:val="0075306F"/>
    <w:rsid w:val="0075389C"/>
    <w:rsid w:val="007545DD"/>
    <w:rsid w:val="007554AF"/>
    <w:rsid w:val="007560F0"/>
    <w:rsid w:val="0075610E"/>
    <w:rsid w:val="007565BC"/>
    <w:rsid w:val="007565E0"/>
    <w:rsid w:val="00756B2D"/>
    <w:rsid w:val="00756F4D"/>
    <w:rsid w:val="007570D6"/>
    <w:rsid w:val="00757AB1"/>
    <w:rsid w:val="00757C4D"/>
    <w:rsid w:val="00757E17"/>
    <w:rsid w:val="00760D71"/>
    <w:rsid w:val="00760F9F"/>
    <w:rsid w:val="00761203"/>
    <w:rsid w:val="00761BCE"/>
    <w:rsid w:val="00762069"/>
    <w:rsid w:val="00763141"/>
    <w:rsid w:val="00763903"/>
    <w:rsid w:val="00763AF5"/>
    <w:rsid w:val="007648BF"/>
    <w:rsid w:val="00764AFA"/>
    <w:rsid w:val="007652CA"/>
    <w:rsid w:val="00765528"/>
    <w:rsid w:val="007656DE"/>
    <w:rsid w:val="00765726"/>
    <w:rsid w:val="007667EC"/>
    <w:rsid w:val="00766FF7"/>
    <w:rsid w:val="00767724"/>
    <w:rsid w:val="00770756"/>
    <w:rsid w:val="007713D1"/>
    <w:rsid w:val="00771460"/>
    <w:rsid w:val="00771DF1"/>
    <w:rsid w:val="0077212E"/>
    <w:rsid w:val="00773135"/>
    <w:rsid w:val="0077373B"/>
    <w:rsid w:val="00773B7A"/>
    <w:rsid w:val="00774B35"/>
    <w:rsid w:val="0077566B"/>
    <w:rsid w:val="0077582E"/>
    <w:rsid w:val="00775DA1"/>
    <w:rsid w:val="00775F43"/>
    <w:rsid w:val="00776EED"/>
    <w:rsid w:val="0077788C"/>
    <w:rsid w:val="007800BF"/>
    <w:rsid w:val="007808DA"/>
    <w:rsid w:val="007812D1"/>
    <w:rsid w:val="00781671"/>
    <w:rsid w:val="007817EB"/>
    <w:rsid w:val="00781D2C"/>
    <w:rsid w:val="00781F9D"/>
    <w:rsid w:val="00782B61"/>
    <w:rsid w:val="0078572B"/>
    <w:rsid w:val="007857F8"/>
    <w:rsid w:val="0078588E"/>
    <w:rsid w:val="00785DCD"/>
    <w:rsid w:val="0078645E"/>
    <w:rsid w:val="00786A91"/>
    <w:rsid w:val="00786B3F"/>
    <w:rsid w:val="007875BB"/>
    <w:rsid w:val="00787D01"/>
    <w:rsid w:val="0079058D"/>
    <w:rsid w:val="00790A31"/>
    <w:rsid w:val="0079102F"/>
    <w:rsid w:val="007912F8"/>
    <w:rsid w:val="00791AC3"/>
    <w:rsid w:val="00792002"/>
    <w:rsid w:val="0079215A"/>
    <w:rsid w:val="00792662"/>
    <w:rsid w:val="00792BFC"/>
    <w:rsid w:val="00792C43"/>
    <w:rsid w:val="007952DD"/>
    <w:rsid w:val="00796594"/>
    <w:rsid w:val="00796883"/>
    <w:rsid w:val="00796E60"/>
    <w:rsid w:val="00796EF8"/>
    <w:rsid w:val="00797404"/>
    <w:rsid w:val="00797791"/>
    <w:rsid w:val="00797847"/>
    <w:rsid w:val="00797E65"/>
    <w:rsid w:val="00797FFD"/>
    <w:rsid w:val="007A01EB"/>
    <w:rsid w:val="007A0784"/>
    <w:rsid w:val="007A0ADA"/>
    <w:rsid w:val="007A122F"/>
    <w:rsid w:val="007A1387"/>
    <w:rsid w:val="007A1919"/>
    <w:rsid w:val="007A21B4"/>
    <w:rsid w:val="007A441C"/>
    <w:rsid w:val="007A4C93"/>
    <w:rsid w:val="007A5FB2"/>
    <w:rsid w:val="007A6598"/>
    <w:rsid w:val="007A7C8B"/>
    <w:rsid w:val="007B09D3"/>
    <w:rsid w:val="007B1E02"/>
    <w:rsid w:val="007B2107"/>
    <w:rsid w:val="007B2A22"/>
    <w:rsid w:val="007B2A5C"/>
    <w:rsid w:val="007B2BF0"/>
    <w:rsid w:val="007B2C3C"/>
    <w:rsid w:val="007B5209"/>
    <w:rsid w:val="007B5C03"/>
    <w:rsid w:val="007B5F28"/>
    <w:rsid w:val="007B6C21"/>
    <w:rsid w:val="007C0858"/>
    <w:rsid w:val="007C0E17"/>
    <w:rsid w:val="007C0F62"/>
    <w:rsid w:val="007C2DBF"/>
    <w:rsid w:val="007C316D"/>
    <w:rsid w:val="007C32E7"/>
    <w:rsid w:val="007C3B45"/>
    <w:rsid w:val="007C4095"/>
    <w:rsid w:val="007C4099"/>
    <w:rsid w:val="007C4A52"/>
    <w:rsid w:val="007C4F20"/>
    <w:rsid w:val="007C57CD"/>
    <w:rsid w:val="007C62DD"/>
    <w:rsid w:val="007C65EF"/>
    <w:rsid w:val="007C6C80"/>
    <w:rsid w:val="007C6D07"/>
    <w:rsid w:val="007C782F"/>
    <w:rsid w:val="007D021B"/>
    <w:rsid w:val="007D03DA"/>
    <w:rsid w:val="007D132E"/>
    <w:rsid w:val="007D1DEB"/>
    <w:rsid w:val="007D28CF"/>
    <w:rsid w:val="007D28F1"/>
    <w:rsid w:val="007D2AF6"/>
    <w:rsid w:val="007D318B"/>
    <w:rsid w:val="007D34C6"/>
    <w:rsid w:val="007D3BCC"/>
    <w:rsid w:val="007D45A9"/>
    <w:rsid w:val="007D4607"/>
    <w:rsid w:val="007D4B95"/>
    <w:rsid w:val="007D4C79"/>
    <w:rsid w:val="007D4F4F"/>
    <w:rsid w:val="007D5722"/>
    <w:rsid w:val="007D656B"/>
    <w:rsid w:val="007D703B"/>
    <w:rsid w:val="007D73FD"/>
    <w:rsid w:val="007D7963"/>
    <w:rsid w:val="007D7B79"/>
    <w:rsid w:val="007E096D"/>
    <w:rsid w:val="007E0B71"/>
    <w:rsid w:val="007E1121"/>
    <w:rsid w:val="007E21EC"/>
    <w:rsid w:val="007E263B"/>
    <w:rsid w:val="007E2AE3"/>
    <w:rsid w:val="007E2BDE"/>
    <w:rsid w:val="007E2EC1"/>
    <w:rsid w:val="007E32B0"/>
    <w:rsid w:val="007E40A1"/>
    <w:rsid w:val="007E4827"/>
    <w:rsid w:val="007E483B"/>
    <w:rsid w:val="007E492B"/>
    <w:rsid w:val="007E5047"/>
    <w:rsid w:val="007E508E"/>
    <w:rsid w:val="007E5AFB"/>
    <w:rsid w:val="007E63FA"/>
    <w:rsid w:val="007F08D4"/>
    <w:rsid w:val="007F0A98"/>
    <w:rsid w:val="007F0B51"/>
    <w:rsid w:val="007F1156"/>
    <w:rsid w:val="007F269C"/>
    <w:rsid w:val="007F2A84"/>
    <w:rsid w:val="007F2B5D"/>
    <w:rsid w:val="007F313D"/>
    <w:rsid w:val="007F3581"/>
    <w:rsid w:val="007F3A28"/>
    <w:rsid w:val="007F41E2"/>
    <w:rsid w:val="007F594C"/>
    <w:rsid w:val="007F6644"/>
    <w:rsid w:val="007F72A8"/>
    <w:rsid w:val="007F779E"/>
    <w:rsid w:val="007F7C4B"/>
    <w:rsid w:val="00800050"/>
    <w:rsid w:val="0080048D"/>
    <w:rsid w:val="008014B6"/>
    <w:rsid w:val="008016F6"/>
    <w:rsid w:val="0080180A"/>
    <w:rsid w:val="00801900"/>
    <w:rsid w:val="00801DF0"/>
    <w:rsid w:val="00801E7A"/>
    <w:rsid w:val="00802824"/>
    <w:rsid w:val="00802B33"/>
    <w:rsid w:val="0080338F"/>
    <w:rsid w:val="00803C43"/>
    <w:rsid w:val="0080447C"/>
    <w:rsid w:val="0080482E"/>
    <w:rsid w:val="00804872"/>
    <w:rsid w:val="00804E4E"/>
    <w:rsid w:val="00805AF2"/>
    <w:rsid w:val="008061A5"/>
    <w:rsid w:val="0080681A"/>
    <w:rsid w:val="00806BF8"/>
    <w:rsid w:val="008100A7"/>
    <w:rsid w:val="008101CF"/>
    <w:rsid w:val="0081042F"/>
    <w:rsid w:val="00810575"/>
    <w:rsid w:val="0081067C"/>
    <w:rsid w:val="00810B42"/>
    <w:rsid w:val="00810E47"/>
    <w:rsid w:val="00811921"/>
    <w:rsid w:val="00811B42"/>
    <w:rsid w:val="00811E7B"/>
    <w:rsid w:val="00811F9A"/>
    <w:rsid w:val="008123B3"/>
    <w:rsid w:val="00812B26"/>
    <w:rsid w:val="00812D35"/>
    <w:rsid w:val="008134E4"/>
    <w:rsid w:val="0081374A"/>
    <w:rsid w:val="00814750"/>
    <w:rsid w:val="008151A4"/>
    <w:rsid w:val="008162F1"/>
    <w:rsid w:val="008164E0"/>
    <w:rsid w:val="00816C1E"/>
    <w:rsid w:val="00817C9E"/>
    <w:rsid w:val="00817F1B"/>
    <w:rsid w:val="00820CDF"/>
    <w:rsid w:val="00820FC8"/>
    <w:rsid w:val="0082170C"/>
    <w:rsid w:val="0082242B"/>
    <w:rsid w:val="008225AF"/>
    <w:rsid w:val="00822D82"/>
    <w:rsid w:val="0082323A"/>
    <w:rsid w:val="0082335B"/>
    <w:rsid w:val="00823656"/>
    <w:rsid w:val="00823BFB"/>
    <w:rsid w:val="00823DA8"/>
    <w:rsid w:val="00825205"/>
    <w:rsid w:val="00825B27"/>
    <w:rsid w:val="00825EF0"/>
    <w:rsid w:val="00826192"/>
    <w:rsid w:val="00826CA8"/>
    <w:rsid w:val="0083057F"/>
    <w:rsid w:val="00831564"/>
    <w:rsid w:val="00831928"/>
    <w:rsid w:val="00832C90"/>
    <w:rsid w:val="00832F8E"/>
    <w:rsid w:val="00833A28"/>
    <w:rsid w:val="00833D31"/>
    <w:rsid w:val="00834C16"/>
    <w:rsid w:val="00835419"/>
    <w:rsid w:val="00835B35"/>
    <w:rsid w:val="00835E58"/>
    <w:rsid w:val="008361C3"/>
    <w:rsid w:val="00836313"/>
    <w:rsid w:val="00837801"/>
    <w:rsid w:val="00837E60"/>
    <w:rsid w:val="0084007F"/>
    <w:rsid w:val="0084105B"/>
    <w:rsid w:val="00841D0C"/>
    <w:rsid w:val="00841E0F"/>
    <w:rsid w:val="008422CD"/>
    <w:rsid w:val="00842411"/>
    <w:rsid w:val="00842F1F"/>
    <w:rsid w:val="0084361D"/>
    <w:rsid w:val="00843CC2"/>
    <w:rsid w:val="00844751"/>
    <w:rsid w:val="008447F2"/>
    <w:rsid w:val="00845448"/>
    <w:rsid w:val="0084592A"/>
    <w:rsid w:val="00845972"/>
    <w:rsid w:val="00845AE9"/>
    <w:rsid w:val="00846370"/>
    <w:rsid w:val="00846F74"/>
    <w:rsid w:val="00847124"/>
    <w:rsid w:val="008509D2"/>
    <w:rsid w:val="00850CA6"/>
    <w:rsid w:val="00850CDB"/>
    <w:rsid w:val="00850D9A"/>
    <w:rsid w:val="00851089"/>
    <w:rsid w:val="00851140"/>
    <w:rsid w:val="00851718"/>
    <w:rsid w:val="008530B9"/>
    <w:rsid w:val="00854D50"/>
    <w:rsid w:val="00854DEE"/>
    <w:rsid w:val="00855289"/>
    <w:rsid w:val="008576C5"/>
    <w:rsid w:val="0085795F"/>
    <w:rsid w:val="00860888"/>
    <w:rsid w:val="0086170A"/>
    <w:rsid w:val="00861B14"/>
    <w:rsid w:val="00861C99"/>
    <w:rsid w:val="00862132"/>
    <w:rsid w:val="00862C86"/>
    <w:rsid w:val="0086372D"/>
    <w:rsid w:val="00863B70"/>
    <w:rsid w:val="00863D28"/>
    <w:rsid w:val="0086466C"/>
    <w:rsid w:val="00864C89"/>
    <w:rsid w:val="008651D5"/>
    <w:rsid w:val="00865CE7"/>
    <w:rsid w:val="0086681C"/>
    <w:rsid w:val="00866E47"/>
    <w:rsid w:val="00867D21"/>
    <w:rsid w:val="00867DAF"/>
    <w:rsid w:val="00870D44"/>
    <w:rsid w:val="0087122C"/>
    <w:rsid w:val="00871FDE"/>
    <w:rsid w:val="0087292C"/>
    <w:rsid w:val="0087453A"/>
    <w:rsid w:val="00874B9F"/>
    <w:rsid w:val="00874EED"/>
    <w:rsid w:val="0087514B"/>
    <w:rsid w:val="008751D7"/>
    <w:rsid w:val="00875A1F"/>
    <w:rsid w:val="00875A46"/>
    <w:rsid w:val="00875B68"/>
    <w:rsid w:val="00875DE7"/>
    <w:rsid w:val="008764D5"/>
    <w:rsid w:val="00876C65"/>
    <w:rsid w:val="00876DDE"/>
    <w:rsid w:val="00877171"/>
    <w:rsid w:val="00877E4A"/>
    <w:rsid w:val="0088112E"/>
    <w:rsid w:val="0088309F"/>
    <w:rsid w:val="008832A4"/>
    <w:rsid w:val="008832C4"/>
    <w:rsid w:val="00883458"/>
    <w:rsid w:val="00883CA7"/>
    <w:rsid w:val="00884187"/>
    <w:rsid w:val="008841F1"/>
    <w:rsid w:val="00885389"/>
    <w:rsid w:val="00885423"/>
    <w:rsid w:val="00885691"/>
    <w:rsid w:val="0088649A"/>
    <w:rsid w:val="00886EA7"/>
    <w:rsid w:val="00890451"/>
    <w:rsid w:val="00890606"/>
    <w:rsid w:val="00890784"/>
    <w:rsid w:val="00890A41"/>
    <w:rsid w:val="0089298D"/>
    <w:rsid w:val="00892E13"/>
    <w:rsid w:val="0089320C"/>
    <w:rsid w:val="00895AAA"/>
    <w:rsid w:val="00896E66"/>
    <w:rsid w:val="00897113"/>
    <w:rsid w:val="008974D5"/>
    <w:rsid w:val="00897CE1"/>
    <w:rsid w:val="00897FD3"/>
    <w:rsid w:val="008A04C6"/>
    <w:rsid w:val="008A0BA1"/>
    <w:rsid w:val="008A1044"/>
    <w:rsid w:val="008A12DE"/>
    <w:rsid w:val="008A22EE"/>
    <w:rsid w:val="008A2394"/>
    <w:rsid w:val="008A24D1"/>
    <w:rsid w:val="008A2597"/>
    <w:rsid w:val="008A264A"/>
    <w:rsid w:val="008A2E52"/>
    <w:rsid w:val="008A3670"/>
    <w:rsid w:val="008A3D92"/>
    <w:rsid w:val="008A4E49"/>
    <w:rsid w:val="008A4E9F"/>
    <w:rsid w:val="008A4F6C"/>
    <w:rsid w:val="008A5924"/>
    <w:rsid w:val="008A64DD"/>
    <w:rsid w:val="008A652A"/>
    <w:rsid w:val="008A6795"/>
    <w:rsid w:val="008A6BF2"/>
    <w:rsid w:val="008A6D53"/>
    <w:rsid w:val="008A6F7A"/>
    <w:rsid w:val="008A7545"/>
    <w:rsid w:val="008A762B"/>
    <w:rsid w:val="008A77D4"/>
    <w:rsid w:val="008B1824"/>
    <w:rsid w:val="008B1DDD"/>
    <w:rsid w:val="008B294D"/>
    <w:rsid w:val="008B2B87"/>
    <w:rsid w:val="008B2F47"/>
    <w:rsid w:val="008B3998"/>
    <w:rsid w:val="008B477D"/>
    <w:rsid w:val="008B5597"/>
    <w:rsid w:val="008B5A2B"/>
    <w:rsid w:val="008B67B3"/>
    <w:rsid w:val="008B7445"/>
    <w:rsid w:val="008B75DB"/>
    <w:rsid w:val="008C0058"/>
    <w:rsid w:val="008C0C96"/>
    <w:rsid w:val="008C10FA"/>
    <w:rsid w:val="008C16D9"/>
    <w:rsid w:val="008C1926"/>
    <w:rsid w:val="008C1B55"/>
    <w:rsid w:val="008C20A5"/>
    <w:rsid w:val="008C2C5E"/>
    <w:rsid w:val="008C3050"/>
    <w:rsid w:val="008C409C"/>
    <w:rsid w:val="008C432F"/>
    <w:rsid w:val="008C433E"/>
    <w:rsid w:val="008C4AF9"/>
    <w:rsid w:val="008C5493"/>
    <w:rsid w:val="008C54E2"/>
    <w:rsid w:val="008C59F5"/>
    <w:rsid w:val="008C5A12"/>
    <w:rsid w:val="008C5A8B"/>
    <w:rsid w:val="008C5DA9"/>
    <w:rsid w:val="008C5F0D"/>
    <w:rsid w:val="008C62DA"/>
    <w:rsid w:val="008C662B"/>
    <w:rsid w:val="008C69AA"/>
    <w:rsid w:val="008C79D1"/>
    <w:rsid w:val="008C7BB9"/>
    <w:rsid w:val="008D1BF1"/>
    <w:rsid w:val="008D228A"/>
    <w:rsid w:val="008D35AB"/>
    <w:rsid w:val="008D3870"/>
    <w:rsid w:val="008D5674"/>
    <w:rsid w:val="008D69E8"/>
    <w:rsid w:val="008D6B09"/>
    <w:rsid w:val="008D7F14"/>
    <w:rsid w:val="008E007A"/>
    <w:rsid w:val="008E0428"/>
    <w:rsid w:val="008E0DAE"/>
    <w:rsid w:val="008E1297"/>
    <w:rsid w:val="008E14F8"/>
    <w:rsid w:val="008E181F"/>
    <w:rsid w:val="008E2128"/>
    <w:rsid w:val="008E23E9"/>
    <w:rsid w:val="008E2960"/>
    <w:rsid w:val="008E2D79"/>
    <w:rsid w:val="008E31E6"/>
    <w:rsid w:val="008E33A9"/>
    <w:rsid w:val="008E33DA"/>
    <w:rsid w:val="008E3447"/>
    <w:rsid w:val="008E380D"/>
    <w:rsid w:val="008E3D00"/>
    <w:rsid w:val="008E3E79"/>
    <w:rsid w:val="008E4124"/>
    <w:rsid w:val="008E4604"/>
    <w:rsid w:val="008E4E6D"/>
    <w:rsid w:val="008E4ED4"/>
    <w:rsid w:val="008E593B"/>
    <w:rsid w:val="008E5A3F"/>
    <w:rsid w:val="008E60A1"/>
    <w:rsid w:val="008E61D0"/>
    <w:rsid w:val="008E6721"/>
    <w:rsid w:val="008E6C07"/>
    <w:rsid w:val="008E6F53"/>
    <w:rsid w:val="008E77DD"/>
    <w:rsid w:val="008F1146"/>
    <w:rsid w:val="008F2B3E"/>
    <w:rsid w:val="008F32EF"/>
    <w:rsid w:val="008F3F39"/>
    <w:rsid w:val="008F413E"/>
    <w:rsid w:val="008F4E95"/>
    <w:rsid w:val="008F6177"/>
    <w:rsid w:val="008F6865"/>
    <w:rsid w:val="008F70B4"/>
    <w:rsid w:val="008F738A"/>
    <w:rsid w:val="008F7EE4"/>
    <w:rsid w:val="00900230"/>
    <w:rsid w:val="00900353"/>
    <w:rsid w:val="009006B1"/>
    <w:rsid w:val="00900BF5"/>
    <w:rsid w:val="009019E3"/>
    <w:rsid w:val="00901C67"/>
    <w:rsid w:val="00901E21"/>
    <w:rsid w:val="00902D04"/>
    <w:rsid w:val="0090369A"/>
    <w:rsid w:val="00903AF4"/>
    <w:rsid w:val="009045B4"/>
    <w:rsid w:val="009048CA"/>
    <w:rsid w:val="0090571A"/>
    <w:rsid w:val="00905EA5"/>
    <w:rsid w:val="009063E7"/>
    <w:rsid w:val="00906472"/>
    <w:rsid w:val="009069DF"/>
    <w:rsid w:val="009072E8"/>
    <w:rsid w:val="00907682"/>
    <w:rsid w:val="00907FB0"/>
    <w:rsid w:val="00907FDA"/>
    <w:rsid w:val="00910542"/>
    <w:rsid w:val="00910DFC"/>
    <w:rsid w:val="00911EC3"/>
    <w:rsid w:val="00911F86"/>
    <w:rsid w:val="00912071"/>
    <w:rsid w:val="0091213A"/>
    <w:rsid w:val="009123EF"/>
    <w:rsid w:val="009125C8"/>
    <w:rsid w:val="009126B4"/>
    <w:rsid w:val="00912883"/>
    <w:rsid w:val="00912CDC"/>
    <w:rsid w:val="00912D24"/>
    <w:rsid w:val="00913537"/>
    <w:rsid w:val="0091405F"/>
    <w:rsid w:val="00914901"/>
    <w:rsid w:val="00914B80"/>
    <w:rsid w:val="0091521A"/>
    <w:rsid w:val="00915894"/>
    <w:rsid w:val="00915966"/>
    <w:rsid w:val="00916875"/>
    <w:rsid w:val="00916CCF"/>
    <w:rsid w:val="00916CEF"/>
    <w:rsid w:val="00921A8D"/>
    <w:rsid w:val="009228CD"/>
    <w:rsid w:val="00922DF3"/>
    <w:rsid w:val="009239C5"/>
    <w:rsid w:val="009257DB"/>
    <w:rsid w:val="00926B95"/>
    <w:rsid w:val="00926F9D"/>
    <w:rsid w:val="00927769"/>
    <w:rsid w:val="0092787E"/>
    <w:rsid w:val="00927B54"/>
    <w:rsid w:val="00932ABF"/>
    <w:rsid w:val="00933DA6"/>
    <w:rsid w:val="00933F41"/>
    <w:rsid w:val="00934179"/>
    <w:rsid w:val="00934387"/>
    <w:rsid w:val="00934CE1"/>
    <w:rsid w:val="00937B91"/>
    <w:rsid w:val="009402B1"/>
    <w:rsid w:val="00942202"/>
    <w:rsid w:val="0094229E"/>
    <w:rsid w:val="009422B9"/>
    <w:rsid w:val="0094336C"/>
    <w:rsid w:val="00943BA7"/>
    <w:rsid w:val="00943D11"/>
    <w:rsid w:val="00943F5B"/>
    <w:rsid w:val="00944623"/>
    <w:rsid w:val="00944A80"/>
    <w:rsid w:val="00944BBF"/>
    <w:rsid w:val="00944C53"/>
    <w:rsid w:val="00944D1B"/>
    <w:rsid w:val="00944F7A"/>
    <w:rsid w:val="0094615E"/>
    <w:rsid w:val="00947C31"/>
    <w:rsid w:val="009506EC"/>
    <w:rsid w:val="00950A6F"/>
    <w:rsid w:val="00951E0D"/>
    <w:rsid w:val="00951F80"/>
    <w:rsid w:val="00952591"/>
    <w:rsid w:val="00952C19"/>
    <w:rsid w:val="00952ECC"/>
    <w:rsid w:val="00952F6D"/>
    <w:rsid w:val="0095449B"/>
    <w:rsid w:val="009547E9"/>
    <w:rsid w:val="00954E9D"/>
    <w:rsid w:val="00955292"/>
    <w:rsid w:val="00955488"/>
    <w:rsid w:val="009561E1"/>
    <w:rsid w:val="00956648"/>
    <w:rsid w:val="009566DF"/>
    <w:rsid w:val="00956BE0"/>
    <w:rsid w:val="00957066"/>
    <w:rsid w:val="0095795D"/>
    <w:rsid w:val="009607D7"/>
    <w:rsid w:val="0096126B"/>
    <w:rsid w:val="00963C1F"/>
    <w:rsid w:val="009647D1"/>
    <w:rsid w:val="00965014"/>
    <w:rsid w:val="009651E9"/>
    <w:rsid w:val="00965370"/>
    <w:rsid w:val="00965A66"/>
    <w:rsid w:val="00966443"/>
    <w:rsid w:val="009669AC"/>
    <w:rsid w:val="0096765E"/>
    <w:rsid w:val="00967E2E"/>
    <w:rsid w:val="00970B9B"/>
    <w:rsid w:val="00971966"/>
    <w:rsid w:val="00971CF8"/>
    <w:rsid w:val="009725B4"/>
    <w:rsid w:val="00973648"/>
    <w:rsid w:val="0097520E"/>
    <w:rsid w:val="00975792"/>
    <w:rsid w:val="00975DF5"/>
    <w:rsid w:val="00976E74"/>
    <w:rsid w:val="0097712B"/>
    <w:rsid w:val="009772F4"/>
    <w:rsid w:val="00977BED"/>
    <w:rsid w:val="00977C9D"/>
    <w:rsid w:val="009801C2"/>
    <w:rsid w:val="009807E0"/>
    <w:rsid w:val="00981A02"/>
    <w:rsid w:val="00982293"/>
    <w:rsid w:val="0098251C"/>
    <w:rsid w:val="00982BCB"/>
    <w:rsid w:val="00982E52"/>
    <w:rsid w:val="00983E4A"/>
    <w:rsid w:val="0098468C"/>
    <w:rsid w:val="009848F8"/>
    <w:rsid w:val="00984D40"/>
    <w:rsid w:val="00985226"/>
    <w:rsid w:val="0098570E"/>
    <w:rsid w:val="009863B1"/>
    <w:rsid w:val="00986ED1"/>
    <w:rsid w:val="00987488"/>
    <w:rsid w:val="009877E8"/>
    <w:rsid w:val="00987B37"/>
    <w:rsid w:val="009904EA"/>
    <w:rsid w:val="009906A4"/>
    <w:rsid w:val="009913FF"/>
    <w:rsid w:val="00991D8E"/>
    <w:rsid w:val="00991DB3"/>
    <w:rsid w:val="00992136"/>
    <w:rsid w:val="00992D62"/>
    <w:rsid w:val="0099392D"/>
    <w:rsid w:val="00993C58"/>
    <w:rsid w:val="009953E1"/>
    <w:rsid w:val="00995A27"/>
    <w:rsid w:val="00996F9C"/>
    <w:rsid w:val="0099765A"/>
    <w:rsid w:val="00997B36"/>
    <w:rsid w:val="00997B37"/>
    <w:rsid w:val="009A04A8"/>
    <w:rsid w:val="009A0E6B"/>
    <w:rsid w:val="009A1AD8"/>
    <w:rsid w:val="009A1E74"/>
    <w:rsid w:val="009A2E6C"/>
    <w:rsid w:val="009A3A46"/>
    <w:rsid w:val="009A3B53"/>
    <w:rsid w:val="009A3D1E"/>
    <w:rsid w:val="009A4137"/>
    <w:rsid w:val="009A527D"/>
    <w:rsid w:val="009A5B6B"/>
    <w:rsid w:val="009A690C"/>
    <w:rsid w:val="009A7369"/>
    <w:rsid w:val="009B0A7B"/>
    <w:rsid w:val="009B0ADB"/>
    <w:rsid w:val="009B10FB"/>
    <w:rsid w:val="009B2734"/>
    <w:rsid w:val="009B32AF"/>
    <w:rsid w:val="009B3E22"/>
    <w:rsid w:val="009B3EF7"/>
    <w:rsid w:val="009B42AA"/>
    <w:rsid w:val="009B4456"/>
    <w:rsid w:val="009B4D86"/>
    <w:rsid w:val="009B5142"/>
    <w:rsid w:val="009B5305"/>
    <w:rsid w:val="009B7177"/>
    <w:rsid w:val="009B7188"/>
    <w:rsid w:val="009B78CA"/>
    <w:rsid w:val="009B7A9E"/>
    <w:rsid w:val="009C25C5"/>
    <w:rsid w:val="009C29D8"/>
    <w:rsid w:val="009C3139"/>
    <w:rsid w:val="009C3C0C"/>
    <w:rsid w:val="009C449D"/>
    <w:rsid w:val="009C49B9"/>
    <w:rsid w:val="009C4B63"/>
    <w:rsid w:val="009C4D45"/>
    <w:rsid w:val="009C4F84"/>
    <w:rsid w:val="009C5176"/>
    <w:rsid w:val="009C70D7"/>
    <w:rsid w:val="009C7409"/>
    <w:rsid w:val="009C7705"/>
    <w:rsid w:val="009C7AD2"/>
    <w:rsid w:val="009C7DED"/>
    <w:rsid w:val="009C7F06"/>
    <w:rsid w:val="009D0002"/>
    <w:rsid w:val="009D02B6"/>
    <w:rsid w:val="009D07C5"/>
    <w:rsid w:val="009D0F62"/>
    <w:rsid w:val="009D1872"/>
    <w:rsid w:val="009D2306"/>
    <w:rsid w:val="009D2615"/>
    <w:rsid w:val="009D2633"/>
    <w:rsid w:val="009D2CB6"/>
    <w:rsid w:val="009D36EF"/>
    <w:rsid w:val="009D4015"/>
    <w:rsid w:val="009D4640"/>
    <w:rsid w:val="009D4889"/>
    <w:rsid w:val="009D65C0"/>
    <w:rsid w:val="009D6632"/>
    <w:rsid w:val="009D6D8F"/>
    <w:rsid w:val="009D75F6"/>
    <w:rsid w:val="009E025B"/>
    <w:rsid w:val="009E0463"/>
    <w:rsid w:val="009E053A"/>
    <w:rsid w:val="009E2F70"/>
    <w:rsid w:val="009E3028"/>
    <w:rsid w:val="009E3625"/>
    <w:rsid w:val="009E3A47"/>
    <w:rsid w:val="009E3B48"/>
    <w:rsid w:val="009E3BF3"/>
    <w:rsid w:val="009E4020"/>
    <w:rsid w:val="009E42A9"/>
    <w:rsid w:val="009E46FC"/>
    <w:rsid w:val="009E58C7"/>
    <w:rsid w:val="009E679D"/>
    <w:rsid w:val="009E6FFC"/>
    <w:rsid w:val="009E7D7D"/>
    <w:rsid w:val="009F0333"/>
    <w:rsid w:val="009F1B0A"/>
    <w:rsid w:val="009F1D45"/>
    <w:rsid w:val="009F1EF0"/>
    <w:rsid w:val="009F2063"/>
    <w:rsid w:val="009F20EB"/>
    <w:rsid w:val="009F2230"/>
    <w:rsid w:val="009F297E"/>
    <w:rsid w:val="009F2CF6"/>
    <w:rsid w:val="009F2D95"/>
    <w:rsid w:val="009F3DDB"/>
    <w:rsid w:val="009F411E"/>
    <w:rsid w:val="009F4D5C"/>
    <w:rsid w:val="009F51A5"/>
    <w:rsid w:val="009F52EB"/>
    <w:rsid w:val="009F5349"/>
    <w:rsid w:val="009F681B"/>
    <w:rsid w:val="009F68D4"/>
    <w:rsid w:val="009F6950"/>
    <w:rsid w:val="009F697B"/>
    <w:rsid w:val="009F6FFC"/>
    <w:rsid w:val="009F7206"/>
    <w:rsid w:val="009F74E6"/>
    <w:rsid w:val="00A005B8"/>
    <w:rsid w:val="00A00C4F"/>
    <w:rsid w:val="00A0103E"/>
    <w:rsid w:val="00A019D5"/>
    <w:rsid w:val="00A02C2A"/>
    <w:rsid w:val="00A02ECA"/>
    <w:rsid w:val="00A03505"/>
    <w:rsid w:val="00A03770"/>
    <w:rsid w:val="00A05BF6"/>
    <w:rsid w:val="00A05C48"/>
    <w:rsid w:val="00A05CFE"/>
    <w:rsid w:val="00A05EBB"/>
    <w:rsid w:val="00A06121"/>
    <w:rsid w:val="00A0723C"/>
    <w:rsid w:val="00A0772D"/>
    <w:rsid w:val="00A07B3B"/>
    <w:rsid w:val="00A107FA"/>
    <w:rsid w:val="00A11B1F"/>
    <w:rsid w:val="00A11C7F"/>
    <w:rsid w:val="00A11DF0"/>
    <w:rsid w:val="00A12602"/>
    <w:rsid w:val="00A12CFF"/>
    <w:rsid w:val="00A1405D"/>
    <w:rsid w:val="00A14175"/>
    <w:rsid w:val="00A14DB8"/>
    <w:rsid w:val="00A14F28"/>
    <w:rsid w:val="00A15840"/>
    <w:rsid w:val="00A175EA"/>
    <w:rsid w:val="00A17672"/>
    <w:rsid w:val="00A20740"/>
    <w:rsid w:val="00A2076A"/>
    <w:rsid w:val="00A20B68"/>
    <w:rsid w:val="00A237C6"/>
    <w:rsid w:val="00A238AA"/>
    <w:rsid w:val="00A24190"/>
    <w:rsid w:val="00A24E84"/>
    <w:rsid w:val="00A25691"/>
    <w:rsid w:val="00A259C5"/>
    <w:rsid w:val="00A262A5"/>
    <w:rsid w:val="00A27F18"/>
    <w:rsid w:val="00A30286"/>
    <w:rsid w:val="00A308E2"/>
    <w:rsid w:val="00A30FDA"/>
    <w:rsid w:val="00A310A5"/>
    <w:rsid w:val="00A315D3"/>
    <w:rsid w:val="00A31701"/>
    <w:rsid w:val="00A31E05"/>
    <w:rsid w:val="00A31FF0"/>
    <w:rsid w:val="00A3480D"/>
    <w:rsid w:val="00A34B3F"/>
    <w:rsid w:val="00A35A5F"/>
    <w:rsid w:val="00A35D22"/>
    <w:rsid w:val="00A36037"/>
    <w:rsid w:val="00A3749F"/>
    <w:rsid w:val="00A374FB"/>
    <w:rsid w:val="00A4000E"/>
    <w:rsid w:val="00A40C22"/>
    <w:rsid w:val="00A41BF1"/>
    <w:rsid w:val="00A41E91"/>
    <w:rsid w:val="00A43ABA"/>
    <w:rsid w:val="00A43D16"/>
    <w:rsid w:val="00A43E90"/>
    <w:rsid w:val="00A43F13"/>
    <w:rsid w:val="00A44515"/>
    <w:rsid w:val="00A44A39"/>
    <w:rsid w:val="00A44C54"/>
    <w:rsid w:val="00A44E29"/>
    <w:rsid w:val="00A45172"/>
    <w:rsid w:val="00A456AA"/>
    <w:rsid w:val="00A461F4"/>
    <w:rsid w:val="00A463C0"/>
    <w:rsid w:val="00A46437"/>
    <w:rsid w:val="00A467DF"/>
    <w:rsid w:val="00A46F2C"/>
    <w:rsid w:val="00A478CF"/>
    <w:rsid w:val="00A47ABD"/>
    <w:rsid w:val="00A47D90"/>
    <w:rsid w:val="00A47FC5"/>
    <w:rsid w:val="00A502DB"/>
    <w:rsid w:val="00A5211E"/>
    <w:rsid w:val="00A52390"/>
    <w:rsid w:val="00A52B18"/>
    <w:rsid w:val="00A52F6A"/>
    <w:rsid w:val="00A53705"/>
    <w:rsid w:val="00A537D7"/>
    <w:rsid w:val="00A53A4E"/>
    <w:rsid w:val="00A53E1A"/>
    <w:rsid w:val="00A5596B"/>
    <w:rsid w:val="00A55B66"/>
    <w:rsid w:val="00A56076"/>
    <w:rsid w:val="00A56161"/>
    <w:rsid w:val="00A56D48"/>
    <w:rsid w:val="00A57070"/>
    <w:rsid w:val="00A573C2"/>
    <w:rsid w:val="00A5789D"/>
    <w:rsid w:val="00A60BA3"/>
    <w:rsid w:val="00A6164F"/>
    <w:rsid w:val="00A61668"/>
    <w:rsid w:val="00A63134"/>
    <w:rsid w:val="00A64374"/>
    <w:rsid w:val="00A64419"/>
    <w:rsid w:val="00A652F8"/>
    <w:rsid w:val="00A6590F"/>
    <w:rsid w:val="00A65C1E"/>
    <w:rsid w:val="00A661D6"/>
    <w:rsid w:val="00A666EA"/>
    <w:rsid w:val="00A677FC"/>
    <w:rsid w:val="00A678BC"/>
    <w:rsid w:val="00A67BC9"/>
    <w:rsid w:val="00A67C5D"/>
    <w:rsid w:val="00A703EA"/>
    <w:rsid w:val="00A71123"/>
    <w:rsid w:val="00A723F7"/>
    <w:rsid w:val="00A72845"/>
    <w:rsid w:val="00A72AAC"/>
    <w:rsid w:val="00A73D10"/>
    <w:rsid w:val="00A7421E"/>
    <w:rsid w:val="00A745BF"/>
    <w:rsid w:val="00A7474F"/>
    <w:rsid w:val="00A74E46"/>
    <w:rsid w:val="00A74F92"/>
    <w:rsid w:val="00A7585E"/>
    <w:rsid w:val="00A75BFC"/>
    <w:rsid w:val="00A75DBC"/>
    <w:rsid w:val="00A75FE0"/>
    <w:rsid w:val="00A76668"/>
    <w:rsid w:val="00A76A4B"/>
    <w:rsid w:val="00A81CC2"/>
    <w:rsid w:val="00A82B3C"/>
    <w:rsid w:val="00A83A8C"/>
    <w:rsid w:val="00A8448C"/>
    <w:rsid w:val="00A848F6"/>
    <w:rsid w:val="00A86DA7"/>
    <w:rsid w:val="00A86F66"/>
    <w:rsid w:val="00A87779"/>
    <w:rsid w:val="00A90124"/>
    <w:rsid w:val="00A90B88"/>
    <w:rsid w:val="00A90BCD"/>
    <w:rsid w:val="00A90BD0"/>
    <w:rsid w:val="00A920AD"/>
    <w:rsid w:val="00A9277C"/>
    <w:rsid w:val="00A94638"/>
    <w:rsid w:val="00A94F44"/>
    <w:rsid w:val="00A95059"/>
    <w:rsid w:val="00A9539A"/>
    <w:rsid w:val="00A95CF7"/>
    <w:rsid w:val="00A968DE"/>
    <w:rsid w:val="00A96F65"/>
    <w:rsid w:val="00A97069"/>
    <w:rsid w:val="00A9738B"/>
    <w:rsid w:val="00A9791B"/>
    <w:rsid w:val="00A9794B"/>
    <w:rsid w:val="00A9799C"/>
    <w:rsid w:val="00AA064E"/>
    <w:rsid w:val="00AA07E2"/>
    <w:rsid w:val="00AA0D41"/>
    <w:rsid w:val="00AA135F"/>
    <w:rsid w:val="00AA1869"/>
    <w:rsid w:val="00AA186D"/>
    <w:rsid w:val="00AA328F"/>
    <w:rsid w:val="00AA35B4"/>
    <w:rsid w:val="00AA3995"/>
    <w:rsid w:val="00AA46F7"/>
    <w:rsid w:val="00AA4987"/>
    <w:rsid w:val="00AA4C19"/>
    <w:rsid w:val="00AA7901"/>
    <w:rsid w:val="00AA7968"/>
    <w:rsid w:val="00AA7A23"/>
    <w:rsid w:val="00AB0C3D"/>
    <w:rsid w:val="00AB2A1F"/>
    <w:rsid w:val="00AB2AB3"/>
    <w:rsid w:val="00AB2D5C"/>
    <w:rsid w:val="00AB2DD3"/>
    <w:rsid w:val="00AB2FEB"/>
    <w:rsid w:val="00AB335D"/>
    <w:rsid w:val="00AB380B"/>
    <w:rsid w:val="00AB433B"/>
    <w:rsid w:val="00AB4BCB"/>
    <w:rsid w:val="00AB51FD"/>
    <w:rsid w:val="00AB551F"/>
    <w:rsid w:val="00AB6758"/>
    <w:rsid w:val="00AB7CE1"/>
    <w:rsid w:val="00AC0292"/>
    <w:rsid w:val="00AC041A"/>
    <w:rsid w:val="00AC0B8D"/>
    <w:rsid w:val="00AC0C69"/>
    <w:rsid w:val="00AC0FDA"/>
    <w:rsid w:val="00AC110A"/>
    <w:rsid w:val="00AC1A0F"/>
    <w:rsid w:val="00AC3748"/>
    <w:rsid w:val="00AC3A38"/>
    <w:rsid w:val="00AC3BF5"/>
    <w:rsid w:val="00AC407B"/>
    <w:rsid w:val="00AC51C4"/>
    <w:rsid w:val="00AC5356"/>
    <w:rsid w:val="00AC58BC"/>
    <w:rsid w:val="00AC60AD"/>
    <w:rsid w:val="00AC6313"/>
    <w:rsid w:val="00AC6E8D"/>
    <w:rsid w:val="00AD07E9"/>
    <w:rsid w:val="00AD26F4"/>
    <w:rsid w:val="00AD31CE"/>
    <w:rsid w:val="00AD4A55"/>
    <w:rsid w:val="00AD4AEA"/>
    <w:rsid w:val="00AD527B"/>
    <w:rsid w:val="00AD528C"/>
    <w:rsid w:val="00AD63DB"/>
    <w:rsid w:val="00AD7814"/>
    <w:rsid w:val="00AE07E7"/>
    <w:rsid w:val="00AE098F"/>
    <w:rsid w:val="00AE0DCA"/>
    <w:rsid w:val="00AE0E6D"/>
    <w:rsid w:val="00AE1101"/>
    <w:rsid w:val="00AE1EF2"/>
    <w:rsid w:val="00AE22DA"/>
    <w:rsid w:val="00AE27A8"/>
    <w:rsid w:val="00AE2E33"/>
    <w:rsid w:val="00AE3150"/>
    <w:rsid w:val="00AE31FA"/>
    <w:rsid w:val="00AE388A"/>
    <w:rsid w:val="00AE3BC9"/>
    <w:rsid w:val="00AE3CB9"/>
    <w:rsid w:val="00AE415C"/>
    <w:rsid w:val="00AE5351"/>
    <w:rsid w:val="00AE5851"/>
    <w:rsid w:val="00AE5AFB"/>
    <w:rsid w:val="00AE6014"/>
    <w:rsid w:val="00AE6256"/>
    <w:rsid w:val="00AE6F3D"/>
    <w:rsid w:val="00AE7341"/>
    <w:rsid w:val="00AE787D"/>
    <w:rsid w:val="00AE7C17"/>
    <w:rsid w:val="00AF0958"/>
    <w:rsid w:val="00AF0BFD"/>
    <w:rsid w:val="00AF194D"/>
    <w:rsid w:val="00AF1DE6"/>
    <w:rsid w:val="00AF3AAE"/>
    <w:rsid w:val="00AF3EC1"/>
    <w:rsid w:val="00AF44AF"/>
    <w:rsid w:val="00AF46C2"/>
    <w:rsid w:val="00AF53F0"/>
    <w:rsid w:val="00AF5621"/>
    <w:rsid w:val="00AF593E"/>
    <w:rsid w:val="00AF5D85"/>
    <w:rsid w:val="00AF6014"/>
    <w:rsid w:val="00AF6FBC"/>
    <w:rsid w:val="00B00FD6"/>
    <w:rsid w:val="00B021EF"/>
    <w:rsid w:val="00B023D5"/>
    <w:rsid w:val="00B03332"/>
    <w:rsid w:val="00B03F74"/>
    <w:rsid w:val="00B04796"/>
    <w:rsid w:val="00B04B2A"/>
    <w:rsid w:val="00B05DFB"/>
    <w:rsid w:val="00B06149"/>
    <w:rsid w:val="00B0671E"/>
    <w:rsid w:val="00B10E89"/>
    <w:rsid w:val="00B115B5"/>
    <w:rsid w:val="00B115D0"/>
    <w:rsid w:val="00B11BC6"/>
    <w:rsid w:val="00B12141"/>
    <w:rsid w:val="00B13048"/>
    <w:rsid w:val="00B1330A"/>
    <w:rsid w:val="00B133AF"/>
    <w:rsid w:val="00B13C3A"/>
    <w:rsid w:val="00B13F29"/>
    <w:rsid w:val="00B15208"/>
    <w:rsid w:val="00B15488"/>
    <w:rsid w:val="00B15B83"/>
    <w:rsid w:val="00B16A64"/>
    <w:rsid w:val="00B177BC"/>
    <w:rsid w:val="00B20126"/>
    <w:rsid w:val="00B21790"/>
    <w:rsid w:val="00B219E1"/>
    <w:rsid w:val="00B21E5F"/>
    <w:rsid w:val="00B223EB"/>
    <w:rsid w:val="00B227E7"/>
    <w:rsid w:val="00B2292B"/>
    <w:rsid w:val="00B23B86"/>
    <w:rsid w:val="00B23F8F"/>
    <w:rsid w:val="00B24AF2"/>
    <w:rsid w:val="00B2599B"/>
    <w:rsid w:val="00B25A49"/>
    <w:rsid w:val="00B26CA7"/>
    <w:rsid w:val="00B26D84"/>
    <w:rsid w:val="00B277B8"/>
    <w:rsid w:val="00B27BFD"/>
    <w:rsid w:val="00B3009E"/>
    <w:rsid w:val="00B310E7"/>
    <w:rsid w:val="00B31260"/>
    <w:rsid w:val="00B3174D"/>
    <w:rsid w:val="00B3195A"/>
    <w:rsid w:val="00B31994"/>
    <w:rsid w:val="00B319F8"/>
    <w:rsid w:val="00B3254A"/>
    <w:rsid w:val="00B33082"/>
    <w:rsid w:val="00B3344D"/>
    <w:rsid w:val="00B336CA"/>
    <w:rsid w:val="00B33C07"/>
    <w:rsid w:val="00B33CE4"/>
    <w:rsid w:val="00B340B6"/>
    <w:rsid w:val="00B34CB6"/>
    <w:rsid w:val="00B3546D"/>
    <w:rsid w:val="00B3547F"/>
    <w:rsid w:val="00B3574E"/>
    <w:rsid w:val="00B35D6E"/>
    <w:rsid w:val="00B3622E"/>
    <w:rsid w:val="00B36429"/>
    <w:rsid w:val="00B37D3E"/>
    <w:rsid w:val="00B37D46"/>
    <w:rsid w:val="00B404FB"/>
    <w:rsid w:val="00B40722"/>
    <w:rsid w:val="00B40890"/>
    <w:rsid w:val="00B412B7"/>
    <w:rsid w:val="00B418EF"/>
    <w:rsid w:val="00B41CC9"/>
    <w:rsid w:val="00B43465"/>
    <w:rsid w:val="00B43489"/>
    <w:rsid w:val="00B43976"/>
    <w:rsid w:val="00B43D3B"/>
    <w:rsid w:val="00B43FF6"/>
    <w:rsid w:val="00B440B2"/>
    <w:rsid w:val="00B441B5"/>
    <w:rsid w:val="00B44327"/>
    <w:rsid w:val="00B44433"/>
    <w:rsid w:val="00B44F01"/>
    <w:rsid w:val="00B46499"/>
    <w:rsid w:val="00B465E2"/>
    <w:rsid w:val="00B46AD1"/>
    <w:rsid w:val="00B46B4C"/>
    <w:rsid w:val="00B47CB2"/>
    <w:rsid w:val="00B502DC"/>
    <w:rsid w:val="00B509FB"/>
    <w:rsid w:val="00B50FF5"/>
    <w:rsid w:val="00B516DB"/>
    <w:rsid w:val="00B51C9E"/>
    <w:rsid w:val="00B52A17"/>
    <w:rsid w:val="00B52F1B"/>
    <w:rsid w:val="00B54273"/>
    <w:rsid w:val="00B5458B"/>
    <w:rsid w:val="00B55089"/>
    <w:rsid w:val="00B5520A"/>
    <w:rsid w:val="00B5574F"/>
    <w:rsid w:val="00B55987"/>
    <w:rsid w:val="00B56B24"/>
    <w:rsid w:val="00B56FBC"/>
    <w:rsid w:val="00B57073"/>
    <w:rsid w:val="00B57EE4"/>
    <w:rsid w:val="00B6075D"/>
    <w:rsid w:val="00B60AEF"/>
    <w:rsid w:val="00B60E3F"/>
    <w:rsid w:val="00B61008"/>
    <w:rsid w:val="00B62302"/>
    <w:rsid w:val="00B63149"/>
    <w:rsid w:val="00B632A3"/>
    <w:rsid w:val="00B63ADF"/>
    <w:rsid w:val="00B64A91"/>
    <w:rsid w:val="00B64CA7"/>
    <w:rsid w:val="00B6659C"/>
    <w:rsid w:val="00B6722B"/>
    <w:rsid w:val="00B70765"/>
    <w:rsid w:val="00B70FC8"/>
    <w:rsid w:val="00B712D0"/>
    <w:rsid w:val="00B71474"/>
    <w:rsid w:val="00B71713"/>
    <w:rsid w:val="00B717AB"/>
    <w:rsid w:val="00B7194C"/>
    <w:rsid w:val="00B722C7"/>
    <w:rsid w:val="00B727E8"/>
    <w:rsid w:val="00B740F0"/>
    <w:rsid w:val="00B7420A"/>
    <w:rsid w:val="00B744A4"/>
    <w:rsid w:val="00B756A9"/>
    <w:rsid w:val="00B75AEB"/>
    <w:rsid w:val="00B75E8D"/>
    <w:rsid w:val="00B75FAB"/>
    <w:rsid w:val="00B76126"/>
    <w:rsid w:val="00B76575"/>
    <w:rsid w:val="00B766E0"/>
    <w:rsid w:val="00B76B5D"/>
    <w:rsid w:val="00B76F4B"/>
    <w:rsid w:val="00B771AC"/>
    <w:rsid w:val="00B775A4"/>
    <w:rsid w:val="00B77F2B"/>
    <w:rsid w:val="00B8030C"/>
    <w:rsid w:val="00B80725"/>
    <w:rsid w:val="00B81520"/>
    <w:rsid w:val="00B8184B"/>
    <w:rsid w:val="00B818EB"/>
    <w:rsid w:val="00B81D29"/>
    <w:rsid w:val="00B82539"/>
    <w:rsid w:val="00B83AF0"/>
    <w:rsid w:val="00B84473"/>
    <w:rsid w:val="00B8465B"/>
    <w:rsid w:val="00B84FF5"/>
    <w:rsid w:val="00B8503D"/>
    <w:rsid w:val="00B86783"/>
    <w:rsid w:val="00B87D57"/>
    <w:rsid w:val="00B91B5F"/>
    <w:rsid w:val="00B923BE"/>
    <w:rsid w:val="00B92787"/>
    <w:rsid w:val="00B9292C"/>
    <w:rsid w:val="00B937BE"/>
    <w:rsid w:val="00B93D57"/>
    <w:rsid w:val="00B9454B"/>
    <w:rsid w:val="00B94E66"/>
    <w:rsid w:val="00B9584E"/>
    <w:rsid w:val="00B95B41"/>
    <w:rsid w:val="00B96B5D"/>
    <w:rsid w:val="00B96CE1"/>
    <w:rsid w:val="00BA02A5"/>
    <w:rsid w:val="00BA0CE5"/>
    <w:rsid w:val="00BA1354"/>
    <w:rsid w:val="00BA1E77"/>
    <w:rsid w:val="00BA1E7C"/>
    <w:rsid w:val="00BA2CD0"/>
    <w:rsid w:val="00BA3412"/>
    <w:rsid w:val="00BA341A"/>
    <w:rsid w:val="00BA376A"/>
    <w:rsid w:val="00BA3F77"/>
    <w:rsid w:val="00BA41DF"/>
    <w:rsid w:val="00BA4D36"/>
    <w:rsid w:val="00BA525D"/>
    <w:rsid w:val="00BA58BA"/>
    <w:rsid w:val="00BA6009"/>
    <w:rsid w:val="00BA6371"/>
    <w:rsid w:val="00BA657E"/>
    <w:rsid w:val="00BA6835"/>
    <w:rsid w:val="00BA7772"/>
    <w:rsid w:val="00BB026D"/>
    <w:rsid w:val="00BB0B79"/>
    <w:rsid w:val="00BB0C1F"/>
    <w:rsid w:val="00BB0CAC"/>
    <w:rsid w:val="00BB1E2F"/>
    <w:rsid w:val="00BB3731"/>
    <w:rsid w:val="00BB3A3A"/>
    <w:rsid w:val="00BB4913"/>
    <w:rsid w:val="00BB4DFB"/>
    <w:rsid w:val="00BB5AD0"/>
    <w:rsid w:val="00BB61CF"/>
    <w:rsid w:val="00BB68CD"/>
    <w:rsid w:val="00BB701E"/>
    <w:rsid w:val="00BB7397"/>
    <w:rsid w:val="00BB788F"/>
    <w:rsid w:val="00BC0222"/>
    <w:rsid w:val="00BC07DB"/>
    <w:rsid w:val="00BC0F3D"/>
    <w:rsid w:val="00BC1663"/>
    <w:rsid w:val="00BC24A7"/>
    <w:rsid w:val="00BC2B38"/>
    <w:rsid w:val="00BC2B59"/>
    <w:rsid w:val="00BC2CDF"/>
    <w:rsid w:val="00BC304A"/>
    <w:rsid w:val="00BC3F5B"/>
    <w:rsid w:val="00BC4231"/>
    <w:rsid w:val="00BC458E"/>
    <w:rsid w:val="00BC4F3A"/>
    <w:rsid w:val="00BC528F"/>
    <w:rsid w:val="00BC55EF"/>
    <w:rsid w:val="00BC5649"/>
    <w:rsid w:val="00BC6473"/>
    <w:rsid w:val="00BC7204"/>
    <w:rsid w:val="00BC7AB5"/>
    <w:rsid w:val="00BC7B08"/>
    <w:rsid w:val="00BC7E73"/>
    <w:rsid w:val="00BD1A70"/>
    <w:rsid w:val="00BD1C7C"/>
    <w:rsid w:val="00BD3463"/>
    <w:rsid w:val="00BD3728"/>
    <w:rsid w:val="00BD37A4"/>
    <w:rsid w:val="00BD3F80"/>
    <w:rsid w:val="00BD57CB"/>
    <w:rsid w:val="00BD6EEE"/>
    <w:rsid w:val="00BD7E44"/>
    <w:rsid w:val="00BE0217"/>
    <w:rsid w:val="00BE05D8"/>
    <w:rsid w:val="00BE09F3"/>
    <w:rsid w:val="00BE0C68"/>
    <w:rsid w:val="00BE25A9"/>
    <w:rsid w:val="00BE2709"/>
    <w:rsid w:val="00BE2B3E"/>
    <w:rsid w:val="00BE320E"/>
    <w:rsid w:val="00BE3636"/>
    <w:rsid w:val="00BE38A1"/>
    <w:rsid w:val="00BE3BBB"/>
    <w:rsid w:val="00BE3C8C"/>
    <w:rsid w:val="00BE419D"/>
    <w:rsid w:val="00BE41F2"/>
    <w:rsid w:val="00BE4343"/>
    <w:rsid w:val="00BE44FA"/>
    <w:rsid w:val="00BE4BE4"/>
    <w:rsid w:val="00BE50E6"/>
    <w:rsid w:val="00BE517A"/>
    <w:rsid w:val="00BE5AAA"/>
    <w:rsid w:val="00BE66F4"/>
    <w:rsid w:val="00BE68F4"/>
    <w:rsid w:val="00BE70F1"/>
    <w:rsid w:val="00BE7B3E"/>
    <w:rsid w:val="00BF054E"/>
    <w:rsid w:val="00BF058D"/>
    <w:rsid w:val="00BF1C44"/>
    <w:rsid w:val="00BF2066"/>
    <w:rsid w:val="00BF21C1"/>
    <w:rsid w:val="00BF2977"/>
    <w:rsid w:val="00BF309E"/>
    <w:rsid w:val="00BF3978"/>
    <w:rsid w:val="00BF3BC6"/>
    <w:rsid w:val="00BF41FA"/>
    <w:rsid w:val="00BF4354"/>
    <w:rsid w:val="00BF4DB1"/>
    <w:rsid w:val="00BF4EDA"/>
    <w:rsid w:val="00BF5CC3"/>
    <w:rsid w:val="00BF6459"/>
    <w:rsid w:val="00BF6E9C"/>
    <w:rsid w:val="00BF74B8"/>
    <w:rsid w:val="00C0091F"/>
    <w:rsid w:val="00C00BB6"/>
    <w:rsid w:val="00C01058"/>
    <w:rsid w:val="00C0149B"/>
    <w:rsid w:val="00C01D30"/>
    <w:rsid w:val="00C02558"/>
    <w:rsid w:val="00C026BF"/>
    <w:rsid w:val="00C039CE"/>
    <w:rsid w:val="00C03C1A"/>
    <w:rsid w:val="00C04C2C"/>
    <w:rsid w:val="00C05976"/>
    <w:rsid w:val="00C064DE"/>
    <w:rsid w:val="00C065AA"/>
    <w:rsid w:val="00C06674"/>
    <w:rsid w:val="00C06827"/>
    <w:rsid w:val="00C0771C"/>
    <w:rsid w:val="00C077F6"/>
    <w:rsid w:val="00C07D10"/>
    <w:rsid w:val="00C112AF"/>
    <w:rsid w:val="00C11708"/>
    <w:rsid w:val="00C11782"/>
    <w:rsid w:val="00C12976"/>
    <w:rsid w:val="00C14961"/>
    <w:rsid w:val="00C15739"/>
    <w:rsid w:val="00C1591C"/>
    <w:rsid w:val="00C1604E"/>
    <w:rsid w:val="00C160F1"/>
    <w:rsid w:val="00C165FB"/>
    <w:rsid w:val="00C17B13"/>
    <w:rsid w:val="00C2015A"/>
    <w:rsid w:val="00C20ACF"/>
    <w:rsid w:val="00C212DB"/>
    <w:rsid w:val="00C2186C"/>
    <w:rsid w:val="00C21D87"/>
    <w:rsid w:val="00C21FFB"/>
    <w:rsid w:val="00C2313A"/>
    <w:rsid w:val="00C23677"/>
    <w:rsid w:val="00C243D7"/>
    <w:rsid w:val="00C2471B"/>
    <w:rsid w:val="00C24972"/>
    <w:rsid w:val="00C24B96"/>
    <w:rsid w:val="00C24ECD"/>
    <w:rsid w:val="00C25CBF"/>
    <w:rsid w:val="00C26649"/>
    <w:rsid w:val="00C267DD"/>
    <w:rsid w:val="00C26F97"/>
    <w:rsid w:val="00C300A6"/>
    <w:rsid w:val="00C30337"/>
    <w:rsid w:val="00C304A8"/>
    <w:rsid w:val="00C3055C"/>
    <w:rsid w:val="00C3082F"/>
    <w:rsid w:val="00C3125C"/>
    <w:rsid w:val="00C31A86"/>
    <w:rsid w:val="00C31F2E"/>
    <w:rsid w:val="00C32077"/>
    <w:rsid w:val="00C3226E"/>
    <w:rsid w:val="00C33018"/>
    <w:rsid w:val="00C33609"/>
    <w:rsid w:val="00C33C0F"/>
    <w:rsid w:val="00C3434D"/>
    <w:rsid w:val="00C34826"/>
    <w:rsid w:val="00C34D6B"/>
    <w:rsid w:val="00C352BE"/>
    <w:rsid w:val="00C35D3B"/>
    <w:rsid w:val="00C36387"/>
    <w:rsid w:val="00C36450"/>
    <w:rsid w:val="00C36D01"/>
    <w:rsid w:val="00C371C7"/>
    <w:rsid w:val="00C37452"/>
    <w:rsid w:val="00C37760"/>
    <w:rsid w:val="00C37A39"/>
    <w:rsid w:val="00C37B9D"/>
    <w:rsid w:val="00C40835"/>
    <w:rsid w:val="00C40BF8"/>
    <w:rsid w:val="00C40CF4"/>
    <w:rsid w:val="00C40D44"/>
    <w:rsid w:val="00C40E72"/>
    <w:rsid w:val="00C41B42"/>
    <w:rsid w:val="00C41D51"/>
    <w:rsid w:val="00C42202"/>
    <w:rsid w:val="00C42A69"/>
    <w:rsid w:val="00C439BF"/>
    <w:rsid w:val="00C43A19"/>
    <w:rsid w:val="00C44299"/>
    <w:rsid w:val="00C4486F"/>
    <w:rsid w:val="00C448E5"/>
    <w:rsid w:val="00C449B0"/>
    <w:rsid w:val="00C44BF6"/>
    <w:rsid w:val="00C45455"/>
    <w:rsid w:val="00C45516"/>
    <w:rsid w:val="00C45B81"/>
    <w:rsid w:val="00C45CF2"/>
    <w:rsid w:val="00C4604F"/>
    <w:rsid w:val="00C461E6"/>
    <w:rsid w:val="00C5021D"/>
    <w:rsid w:val="00C514EE"/>
    <w:rsid w:val="00C52487"/>
    <w:rsid w:val="00C529E1"/>
    <w:rsid w:val="00C53E8C"/>
    <w:rsid w:val="00C54039"/>
    <w:rsid w:val="00C541AC"/>
    <w:rsid w:val="00C549FD"/>
    <w:rsid w:val="00C54B68"/>
    <w:rsid w:val="00C553BE"/>
    <w:rsid w:val="00C557BA"/>
    <w:rsid w:val="00C5590A"/>
    <w:rsid w:val="00C55928"/>
    <w:rsid w:val="00C55C9D"/>
    <w:rsid w:val="00C563AD"/>
    <w:rsid w:val="00C56D02"/>
    <w:rsid w:val="00C57472"/>
    <w:rsid w:val="00C5750D"/>
    <w:rsid w:val="00C5782A"/>
    <w:rsid w:val="00C5785D"/>
    <w:rsid w:val="00C61317"/>
    <w:rsid w:val="00C6140E"/>
    <w:rsid w:val="00C61E2E"/>
    <w:rsid w:val="00C62EE0"/>
    <w:rsid w:val="00C63A40"/>
    <w:rsid w:val="00C63E15"/>
    <w:rsid w:val="00C63E4C"/>
    <w:rsid w:val="00C64876"/>
    <w:rsid w:val="00C65542"/>
    <w:rsid w:val="00C658AB"/>
    <w:rsid w:val="00C66587"/>
    <w:rsid w:val="00C6663F"/>
    <w:rsid w:val="00C66996"/>
    <w:rsid w:val="00C670BC"/>
    <w:rsid w:val="00C67598"/>
    <w:rsid w:val="00C678BF"/>
    <w:rsid w:val="00C67E99"/>
    <w:rsid w:val="00C7026E"/>
    <w:rsid w:val="00C71E4B"/>
    <w:rsid w:val="00C722E4"/>
    <w:rsid w:val="00C725BD"/>
    <w:rsid w:val="00C72F9A"/>
    <w:rsid w:val="00C73118"/>
    <w:rsid w:val="00C73B2D"/>
    <w:rsid w:val="00C73CAC"/>
    <w:rsid w:val="00C74370"/>
    <w:rsid w:val="00C745BD"/>
    <w:rsid w:val="00C7587A"/>
    <w:rsid w:val="00C75CB8"/>
    <w:rsid w:val="00C75D52"/>
    <w:rsid w:val="00C772C8"/>
    <w:rsid w:val="00C77E43"/>
    <w:rsid w:val="00C8040F"/>
    <w:rsid w:val="00C80C08"/>
    <w:rsid w:val="00C8130B"/>
    <w:rsid w:val="00C826AF"/>
    <w:rsid w:val="00C826C9"/>
    <w:rsid w:val="00C82864"/>
    <w:rsid w:val="00C82D8E"/>
    <w:rsid w:val="00C83002"/>
    <w:rsid w:val="00C83D4C"/>
    <w:rsid w:val="00C83E55"/>
    <w:rsid w:val="00C85131"/>
    <w:rsid w:val="00C85A62"/>
    <w:rsid w:val="00C861C1"/>
    <w:rsid w:val="00C8654F"/>
    <w:rsid w:val="00C904D4"/>
    <w:rsid w:val="00C9123B"/>
    <w:rsid w:val="00C917D9"/>
    <w:rsid w:val="00C91DF4"/>
    <w:rsid w:val="00C920B9"/>
    <w:rsid w:val="00C922F6"/>
    <w:rsid w:val="00C92E1D"/>
    <w:rsid w:val="00C9396D"/>
    <w:rsid w:val="00C939E3"/>
    <w:rsid w:val="00C93ACB"/>
    <w:rsid w:val="00C949E1"/>
    <w:rsid w:val="00C94C21"/>
    <w:rsid w:val="00C95269"/>
    <w:rsid w:val="00C95AD9"/>
    <w:rsid w:val="00C95C3E"/>
    <w:rsid w:val="00C967E5"/>
    <w:rsid w:val="00C96F32"/>
    <w:rsid w:val="00C97483"/>
    <w:rsid w:val="00C976CA"/>
    <w:rsid w:val="00C97E05"/>
    <w:rsid w:val="00CA0795"/>
    <w:rsid w:val="00CA1140"/>
    <w:rsid w:val="00CA13C3"/>
    <w:rsid w:val="00CA19D7"/>
    <w:rsid w:val="00CA1A66"/>
    <w:rsid w:val="00CA207A"/>
    <w:rsid w:val="00CA2315"/>
    <w:rsid w:val="00CA2C99"/>
    <w:rsid w:val="00CA2CE9"/>
    <w:rsid w:val="00CA3654"/>
    <w:rsid w:val="00CA3B03"/>
    <w:rsid w:val="00CA44AB"/>
    <w:rsid w:val="00CA4BC7"/>
    <w:rsid w:val="00CA5F16"/>
    <w:rsid w:val="00CA6055"/>
    <w:rsid w:val="00CA6069"/>
    <w:rsid w:val="00CA6245"/>
    <w:rsid w:val="00CA718A"/>
    <w:rsid w:val="00CA732A"/>
    <w:rsid w:val="00CA7F3E"/>
    <w:rsid w:val="00CB0270"/>
    <w:rsid w:val="00CB0534"/>
    <w:rsid w:val="00CB1FAD"/>
    <w:rsid w:val="00CB2573"/>
    <w:rsid w:val="00CB314E"/>
    <w:rsid w:val="00CB3407"/>
    <w:rsid w:val="00CB34E4"/>
    <w:rsid w:val="00CB354D"/>
    <w:rsid w:val="00CB4A5A"/>
    <w:rsid w:val="00CB6196"/>
    <w:rsid w:val="00CB6431"/>
    <w:rsid w:val="00CB6940"/>
    <w:rsid w:val="00CB6ADA"/>
    <w:rsid w:val="00CB6BCB"/>
    <w:rsid w:val="00CB714A"/>
    <w:rsid w:val="00CB7251"/>
    <w:rsid w:val="00CC14E4"/>
    <w:rsid w:val="00CC16AA"/>
    <w:rsid w:val="00CC2883"/>
    <w:rsid w:val="00CC353E"/>
    <w:rsid w:val="00CC3C46"/>
    <w:rsid w:val="00CC4507"/>
    <w:rsid w:val="00CC4957"/>
    <w:rsid w:val="00CC4CE3"/>
    <w:rsid w:val="00CC5007"/>
    <w:rsid w:val="00CC50DA"/>
    <w:rsid w:val="00CC6303"/>
    <w:rsid w:val="00CC7089"/>
    <w:rsid w:val="00CC73CB"/>
    <w:rsid w:val="00CC74E5"/>
    <w:rsid w:val="00CC7955"/>
    <w:rsid w:val="00CD063B"/>
    <w:rsid w:val="00CD1B39"/>
    <w:rsid w:val="00CD1D29"/>
    <w:rsid w:val="00CD1E1F"/>
    <w:rsid w:val="00CD2DAE"/>
    <w:rsid w:val="00CD30A1"/>
    <w:rsid w:val="00CD31C3"/>
    <w:rsid w:val="00CD3741"/>
    <w:rsid w:val="00CD382D"/>
    <w:rsid w:val="00CD424F"/>
    <w:rsid w:val="00CD48F4"/>
    <w:rsid w:val="00CD50C0"/>
    <w:rsid w:val="00CD5770"/>
    <w:rsid w:val="00CD6014"/>
    <w:rsid w:val="00CD67BE"/>
    <w:rsid w:val="00CD6D5A"/>
    <w:rsid w:val="00CD6F38"/>
    <w:rsid w:val="00CD7164"/>
    <w:rsid w:val="00CD740C"/>
    <w:rsid w:val="00CD792D"/>
    <w:rsid w:val="00CE00A3"/>
    <w:rsid w:val="00CE029B"/>
    <w:rsid w:val="00CE0325"/>
    <w:rsid w:val="00CE0B5B"/>
    <w:rsid w:val="00CE0CE9"/>
    <w:rsid w:val="00CE0D9D"/>
    <w:rsid w:val="00CE14D4"/>
    <w:rsid w:val="00CE1A01"/>
    <w:rsid w:val="00CE2B42"/>
    <w:rsid w:val="00CE2B84"/>
    <w:rsid w:val="00CE317F"/>
    <w:rsid w:val="00CE3CF6"/>
    <w:rsid w:val="00CE4034"/>
    <w:rsid w:val="00CE43AF"/>
    <w:rsid w:val="00CE5640"/>
    <w:rsid w:val="00CE606C"/>
    <w:rsid w:val="00CE6E46"/>
    <w:rsid w:val="00CE7272"/>
    <w:rsid w:val="00CE7987"/>
    <w:rsid w:val="00CE7C07"/>
    <w:rsid w:val="00CF0629"/>
    <w:rsid w:val="00CF2E90"/>
    <w:rsid w:val="00CF3A7A"/>
    <w:rsid w:val="00CF40A7"/>
    <w:rsid w:val="00CF47F3"/>
    <w:rsid w:val="00CF506B"/>
    <w:rsid w:val="00CF5EE5"/>
    <w:rsid w:val="00CF7299"/>
    <w:rsid w:val="00CF7434"/>
    <w:rsid w:val="00CF7671"/>
    <w:rsid w:val="00D000F0"/>
    <w:rsid w:val="00D0049E"/>
    <w:rsid w:val="00D007D3"/>
    <w:rsid w:val="00D01272"/>
    <w:rsid w:val="00D0263B"/>
    <w:rsid w:val="00D02B78"/>
    <w:rsid w:val="00D03071"/>
    <w:rsid w:val="00D0309B"/>
    <w:rsid w:val="00D0369B"/>
    <w:rsid w:val="00D0375E"/>
    <w:rsid w:val="00D03D10"/>
    <w:rsid w:val="00D041AD"/>
    <w:rsid w:val="00D04247"/>
    <w:rsid w:val="00D042B6"/>
    <w:rsid w:val="00D0463E"/>
    <w:rsid w:val="00D04EED"/>
    <w:rsid w:val="00D050DD"/>
    <w:rsid w:val="00D05230"/>
    <w:rsid w:val="00D057C9"/>
    <w:rsid w:val="00D05E51"/>
    <w:rsid w:val="00D0659C"/>
    <w:rsid w:val="00D06C86"/>
    <w:rsid w:val="00D06D26"/>
    <w:rsid w:val="00D078A1"/>
    <w:rsid w:val="00D11257"/>
    <w:rsid w:val="00D116AA"/>
    <w:rsid w:val="00D11DB5"/>
    <w:rsid w:val="00D121E5"/>
    <w:rsid w:val="00D12442"/>
    <w:rsid w:val="00D1273D"/>
    <w:rsid w:val="00D12BA8"/>
    <w:rsid w:val="00D1442D"/>
    <w:rsid w:val="00D14666"/>
    <w:rsid w:val="00D147EB"/>
    <w:rsid w:val="00D156E5"/>
    <w:rsid w:val="00D15DDC"/>
    <w:rsid w:val="00D15F58"/>
    <w:rsid w:val="00D16D57"/>
    <w:rsid w:val="00D171FB"/>
    <w:rsid w:val="00D1744A"/>
    <w:rsid w:val="00D174AF"/>
    <w:rsid w:val="00D177BC"/>
    <w:rsid w:val="00D17B99"/>
    <w:rsid w:val="00D2060A"/>
    <w:rsid w:val="00D20C65"/>
    <w:rsid w:val="00D20CD7"/>
    <w:rsid w:val="00D21670"/>
    <w:rsid w:val="00D21735"/>
    <w:rsid w:val="00D21A5E"/>
    <w:rsid w:val="00D22AAE"/>
    <w:rsid w:val="00D22EED"/>
    <w:rsid w:val="00D23A77"/>
    <w:rsid w:val="00D240D1"/>
    <w:rsid w:val="00D24215"/>
    <w:rsid w:val="00D24255"/>
    <w:rsid w:val="00D2440C"/>
    <w:rsid w:val="00D2651F"/>
    <w:rsid w:val="00D26824"/>
    <w:rsid w:val="00D26FFF"/>
    <w:rsid w:val="00D27A64"/>
    <w:rsid w:val="00D30468"/>
    <w:rsid w:val="00D306F3"/>
    <w:rsid w:val="00D30C84"/>
    <w:rsid w:val="00D30E2B"/>
    <w:rsid w:val="00D32727"/>
    <w:rsid w:val="00D32B01"/>
    <w:rsid w:val="00D33426"/>
    <w:rsid w:val="00D33BEB"/>
    <w:rsid w:val="00D34F90"/>
    <w:rsid w:val="00D35632"/>
    <w:rsid w:val="00D3577B"/>
    <w:rsid w:val="00D359FC"/>
    <w:rsid w:val="00D35C73"/>
    <w:rsid w:val="00D36B95"/>
    <w:rsid w:val="00D378F0"/>
    <w:rsid w:val="00D40C75"/>
    <w:rsid w:val="00D40E22"/>
    <w:rsid w:val="00D41187"/>
    <w:rsid w:val="00D41247"/>
    <w:rsid w:val="00D41AA3"/>
    <w:rsid w:val="00D42358"/>
    <w:rsid w:val="00D4246D"/>
    <w:rsid w:val="00D4298D"/>
    <w:rsid w:val="00D42DB7"/>
    <w:rsid w:val="00D4399A"/>
    <w:rsid w:val="00D43D08"/>
    <w:rsid w:val="00D43D35"/>
    <w:rsid w:val="00D43EFB"/>
    <w:rsid w:val="00D44006"/>
    <w:rsid w:val="00D443AF"/>
    <w:rsid w:val="00D448F3"/>
    <w:rsid w:val="00D44AD1"/>
    <w:rsid w:val="00D45193"/>
    <w:rsid w:val="00D452F4"/>
    <w:rsid w:val="00D45E3F"/>
    <w:rsid w:val="00D463B9"/>
    <w:rsid w:val="00D46B63"/>
    <w:rsid w:val="00D46BBB"/>
    <w:rsid w:val="00D46E0B"/>
    <w:rsid w:val="00D472A2"/>
    <w:rsid w:val="00D473C0"/>
    <w:rsid w:val="00D477B5"/>
    <w:rsid w:val="00D47DBC"/>
    <w:rsid w:val="00D50E4C"/>
    <w:rsid w:val="00D50E74"/>
    <w:rsid w:val="00D51B1F"/>
    <w:rsid w:val="00D526A1"/>
    <w:rsid w:val="00D527EC"/>
    <w:rsid w:val="00D538E9"/>
    <w:rsid w:val="00D53AD2"/>
    <w:rsid w:val="00D543B1"/>
    <w:rsid w:val="00D55654"/>
    <w:rsid w:val="00D55B8D"/>
    <w:rsid w:val="00D55BA3"/>
    <w:rsid w:val="00D55FA8"/>
    <w:rsid w:val="00D606F0"/>
    <w:rsid w:val="00D60B19"/>
    <w:rsid w:val="00D60FB8"/>
    <w:rsid w:val="00D61040"/>
    <w:rsid w:val="00D625DC"/>
    <w:rsid w:val="00D62C18"/>
    <w:rsid w:val="00D632B5"/>
    <w:rsid w:val="00D65492"/>
    <w:rsid w:val="00D664F3"/>
    <w:rsid w:val="00D66F97"/>
    <w:rsid w:val="00D704F7"/>
    <w:rsid w:val="00D70E1B"/>
    <w:rsid w:val="00D71885"/>
    <w:rsid w:val="00D72EC8"/>
    <w:rsid w:val="00D733E5"/>
    <w:rsid w:val="00D74B05"/>
    <w:rsid w:val="00D75260"/>
    <w:rsid w:val="00D75358"/>
    <w:rsid w:val="00D75D10"/>
    <w:rsid w:val="00D75E17"/>
    <w:rsid w:val="00D7651B"/>
    <w:rsid w:val="00D77222"/>
    <w:rsid w:val="00D800C4"/>
    <w:rsid w:val="00D8093A"/>
    <w:rsid w:val="00D80C2E"/>
    <w:rsid w:val="00D8102D"/>
    <w:rsid w:val="00D81390"/>
    <w:rsid w:val="00D81B3C"/>
    <w:rsid w:val="00D82E71"/>
    <w:rsid w:val="00D83E2F"/>
    <w:rsid w:val="00D83FA4"/>
    <w:rsid w:val="00D83FD0"/>
    <w:rsid w:val="00D84449"/>
    <w:rsid w:val="00D848CA"/>
    <w:rsid w:val="00D857FB"/>
    <w:rsid w:val="00D85DCE"/>
    <w:rsid w:val="00D85FBF"/>
    <w:rsid w:val="00D86C78"/>
    <w:rsid w:val="00D8764F"/>
    <w:rsid w:val="00D877DA"/>
    <w:rsid w:val="00D87BBB"/>
    <w:rsid w:val="00D90171"/>
    <w:rsid w:val="00D912B1"/>
    <w:rsid w:val="00D91D53"/>
    <w:rsid w:val="00D938E8"/>
    <w:rsid w:val="00D93AEA"/>
    <w:rsid w:val="00D93C42"/>
    <w:rsid w:val="00D941B4"/>
    <w:rsid w:val="00D944A4"/>
    <w:rsid w:val="00D953BB"/>
    <w:rsid w:val="00D957FE"/>
    <w:rsid w:val="00D95FA3"/>
    <w:rsid w:val="00D96B61"/>
    <w:rsid w:val="00D96BCE"/>
    <w:rsid w:val="00D96CB4"/>
    <w:rsid w:val="00D96EA0"/>
    <w:rsid w:val="00D979E1"/>
    <w:rsid w:val="00D97E59"/>
    <w:rsid w:val="00D97E71"/>
    <w:rsid w:val="00DA02F4"/>
    <w:rsid w:val="00DA0829"/>
    <w:rsid w:val="00DA0B30"/>
    <w:rsid w:val="00DA1D8E"/>
    <w:rsid w:val="00DA2294"/>
    <w:rsid w:val="00DA278A"/>
    <w:rsid w:val="00DA287E"/>
    <w:rsid w:val="00DA2F3A"/>
    <w:rsid w:val="00DA355C"/>
    <w:rsid w:val="00DA3C26"/>
    <w:rsid w:val="00DA44B5"/>
    <w:rsid w:val="00DA5B34"/>
    <w:rsid w:val="00DA5DF8"/>
    <w:rsid w:val="00DA62C6"/>
    <w:rsid w:val="00DA6465"/>
    <w:rsid w:val="00DA6F59"/>
    <w:rsid w:val="00DA6FA7"/>
    <w:rsid w:val="00DA78C4"/>
    <w:rsid w:val="00DB01CE"/>
    <w:rsid w:val="00DB0CAD"/>
    <w:rsid w:val="00DB0E6C"/>
    <w:rsid w:val="00DB1AAD"/>
    <w:rsid w:val="00DB1DD2"/>
    <w:rsid w:val="00DB2340"/>
    <w:rsid w:val="00DB2476"/>
    <w:rsid w:val="00DB2ABA"/>
    <w:rsid w:val="00DB4455"/>
    <w:rsid w:val="00DB44B0"/>
    <w:rsid w:val="00DB4848"/>
    <w:rsid w:val="00DB490D"/>
    <w:rsid w:val="00DB4E32"/>
    <w:rsid w:val="00DB574B"/>
    <w:rsid w:val="00DB63B9"/>
    <w:rsid w:val="00DB7BC2"/>
    <w:rsid w:val="00DB7E55"/>
    <w:rsid w:val="00DC0011"/>
    <w:rsid w:val="00DC142D"/>
    <w:rsid w:val="00DC14D7"/>
    <w:rsid w:val="00DC20BC"/>
    <w:rsid w:val="00DC367D"/>
    <w:rsid w:val="00DC6448"/>
    <w:rsid w:val="00DC68F0"/>
    <w:rsid w:val="00DC6C95"/>
    <w:rsid w:val="00DC7426"/>
    <w:rsid w:val="00DD02AB"/>
    <w:rsid w:val="00DD0B70"/>
    <w:rsid w:val="00DD133B"/>
    <w:rsid w:val="00DD196F"/>
    <w:rsid w:val="00DD2256"/>
    <w:rsid w:val="00DD2393"/>
    <w:rsid w:val="00DD287C"/>
    <w:rsid w:val="00DD2F67"/>
    <w:rsid w:val="00DD3067"/>
    <w:rsid w:val="00DD42BB"/>
    <w:rsid w:val="00DD4306"/>
    <w:rsid w:val="00DD4980"/>
    <w:rsid w:val="00DD4A81"/>
    <w:rsid w:val="00DD4DB2"/>
    <w:rsid w:val="00DD4DE6"/>
    <w:rsid w:val="00DD4DE7"/>
    <w:rsid w:val="00DD5C29"/>
    <w:rsid w:val="00DD60E5"/>
    <w:rsid w:val="00DD6FA0"/>
    <w:rsid w:val="00DD78D9"/>
    <w:rsid w:val="00DD79AA"/>
    <w:rsid w:val="00DD7A31"/>
    <w:rsid w:val="00DD7CDF"/>
    <w:rsid w:val="00DE0119"/>
    <w:rsid w:val="00DE0835"/>
    <w:rsid w:val="00DE0E77"/>
    <w:rsid w:val="00DE15B9"/>
    <w:rsid w:val="00DE263A"/>
    <w:rsid w:val="00DE27B2"/>
    <w:rsid w:val="00DE2DB3"/>
    <w:rsid w:val="00DE3623"/>
    <w:rsid w:val="00DE4286"/>
    <w:rsid w:val="00DE42A2"/>
    <w:rsid w:val="00DE4609"/>
    <w:rsid w:val="00DE4791"/>
    <w:rsid w:val="00DE4DE0"/>
    <w:rsid w:val="00DE54CD"/>
    <w:rsid w:val="00DE587C"/>
    <w:rsid w:val="00DE6093"/>
    <w:rsid w:val="00DE695E"/>
    <w:rsid w:val="00DE6B22"/>
    <w:rsid w:val="00DE74CA"/>
    <w:rsid w:val="00DE7DD9"/>
    <w:rsid w:val="00DE7E28"/>
    <w:rsid w:val="00DF0395"/>
    <w:rsid w:val="00DF03B5"/>
    <w:rsid w:val="00DF0C37"/>
    <w:rsid w:val="00DF15E6"/>
    <w:rsid w:val="00DF2479"/>
    <w:rsid w:val="00DF254F"/>
    <w:rsid w:val="00DF3AB8"/>
    <w:rsid w:val="00DF3D31"/>
    <w:rsid w:val="00DF4002"/>
    <w:rsid w:val="00DF517E"/>
    <w:rsid w:val="00DF5418"/>
    <w:rsid w:val="00DF5588"/>
    <w:rsid w:val="00DF5B54"/>
    <w:rsid w:val="00DF5BFF"/>
    <w:rsid w:val="00DF6A86"/>
    <w:rsid w:val="00DF6C15"/>
    <w:rsid w:val="00DF6F99"/>
    <w:rsid w:val="00E00A8F"/>
    <w:rsid w:val="00E00B41"/>
    <w:rsid w:val="00E03229"/>
    <w:rsid w:val="00E032D8"/>
    <w:rsid w:val="00E034A7"/>
    <w:rsid w:val="00E03820"/>
    <w:rsid w:val="00E040BC"/>
    <w:rsid w:val="00E046C2"/>
    <w:rsid w:val="00E047B2"/>
    <w:rsid w:val="00E04AF5"/>
    <w:rsid w:val="00E04B25"/>
    <w:rsid w:val="00E04B83"/>
    <w:rsid w:val="00E04CF0"/>
    <w:rsid w:val="00E055A3"/>
    <w:rsid w:val="00E05863"/>
    <w:rsid w:val="00E0672A"/>
    <w:rsid w:val="00E06749"/>
    <w:rsid w:val="00E068C3"/>
    <w:rsid w:val="00E102C2"/>
    <w:rsid w:val="00E1053D"/>
    <w:rsid w:val="00E10794"/>
    <w:rsid w:val="00E12271"/>
    <w:rsid w:val="00E129A6"/>
    <w:rsid w:val="00E12FB6"/>
    <w:rsid w:val="00E12FC6"/>
    <w:rsid w:val="00E13AE0"/>
    <w:rsid w:val="00E13BBE"/>
    <w:rsid w:val="00E1457B"/>
    <w:rsid w:val="00E1579F"/>
    <w:rsid w:val="00E15B9B"/>
    <w:rsid w:val="00E16425"/>
    <w:rsid w:val="00E165C9"/>
    <w:rsid w:val="00E177DE"/>
    <w:rsid w:val="00E200AE"/>
    <w:rsid w:val="00E207AF"/>
    <w:rsid w:val="00E21464"/>
    <w:rsid w:val="00E21BF8"/>
    <w:rsid w:val="00E224D1"/>
    <w:rsid w:val="00E226B2"/>
    <w:rsid w:val="00E2337A"/>
    <w:rsid w:val="00E2422B"/>
    <w:rsid w:val="00E244F6"/>
    <w:rsid w:val="00E24823"/>
    <w:rsid w:val="00E24962"/>
    <w:rsid w:val="00E24C80"/>
    <w:rsid w:val="00E25074"/>
    <w:rsid w:val="00E2578F"/>
    <w:rsid w:val="00E25C15"/>
    <w:rsid w:val="00E2605B"/>
    <w:rsid w:val="00E26F48"/>
    <w:rsid w:val="00E27A85"/>
    <w:rsid w:val="00E27BA5"/>
    <w:rsid w:val="00E30910"/>
    <w:rsid w:val="00E31E84"/>
    <w:rsid w:val="00E32A46"/>
    <w:rsid w:val="00E32DB2"/>
    <w:rsid w:val="00E3320C"/>
    <w:rsid w:val="00E3474A"/>
    <w:rsid w:val="00E347CC"/>
    <w:rsid w:val="00E36978"/>
    <w:rsid w:val="00E36C7C"/>
    <w:rsid w:val="00E407C9"/>
    <w:rsid w:val="00E40906"/>
    <w:rsid w:val="00E40D39"/>
    <w:rsid w:val="00E42CCA"/>
    <w:rsid w:val="00E435DB"/>
    <w:rsid w:val="00E44753"/>
    <w:rsid w:val="00E4475F"/>
    <w:rsid w:val="00E45163"/>
    <w:rsid w:val="00E45E2A"/>
    <w:rsid w:val="00E461F1"/>
    <w:rsid w:val="00E4627B"/>
    <w:rsid w:val="00E462C5"/>
    <w:rsid w:val="00E46C46"/>
    <w:rsid w:val="00E472C5"/>
    <w:rsid w:val="00E5049F"/>
    <w:rsid w:val="00E51181"/>
    <w:rsid w:val="00E516B6"/>
    <w:rsid w:val="00E51C4D"/>
    <w:rsid w:val="00E527B2"/>
    <w:rsid w:val="00E53060"/>
    <w:rsid w:val="00E532A2"/>
    <w:rsid w:val="00E53597"/>
    <w:rsid w:val="00E535EE"/>
    <w:rsid w:val="00E53637"/>
    <w:rsid w:val="00E553AD"/>
    <w:rsid w:val="00E56207"/>
    <w:rsid w:val="00E564A1"/>
    <w:rsid w:val="00E57318"/>
    <w:rsid w:val="00E57A33"/>
    <w:rsid w:val="00E57F0C"/>
    <w:rsid w:val="00E6002F"/>
    <w:rsid w:val="00E60C9D"/>
    <w:rsid w:val="00E60DB9"/>
    <w:rsid w:val="00E62663"/>
    <w:rsid w:val="00E63CC0"/>
    <w:rsid w:val="00E64521"/>
    <w:rsid w:val="00E65018"/>
    <w:rsid w:val="00E6591F"/>
    <w:rsid w:val="00E66A0C"/>
    <w:rsid w:val="00E675BE"/>
    <w:rsid w:val="00E7042B"/>
    <w:rsid w:val="00E70D72"/>
    <w:rsid w:val="00E71052"/>
    <w:rsid w:val="00E71719"/>
    <w:rsid w:val="00E71994"/>
    <w:rsid w:val="00E7273D"/>
    <w:rsid w:val="00E72F02"/>
    <w:rsid w:val="00E7341F"/>
    <w:rsid w:val="00E738C0"/>
    <w:rsid w:val="00E73B29"/>
    <w:rsid w:val="00E74C0F"/>
    <w:rsid w:val="00E75FC1"/>
    <w:rsid w:val="00E76692"/>
    <w:rsid w:val="00E772B0"/>
    <w:rsid w:val="00E77306"/>
    <w:rsid w:val="00E778BE"/>
    <w:rsid w:val="00E804F9"/>
    <w:rsid w:val="00E80B62"/>
    <w:rsid w:val="00E80E9B"/>
    <w:rsid w:val="00E81442"/>
    <w:rsid w:val="00E827D9"/>
    <w:rsid w:val="00E829A3"/>
    <w:rsid w:val="00E84264"/>
    <w:rsid w:val="00E84508"/>
    <w:rsid w:val="00E857FC"/>
    <w:rsid w:val="00E85F05"/>
    <w:rsid w:val="00E86219"/>
    <w:rsid w:val="00E86C4B"/>
    <w:rsid w:val="00E86CDC"/>
    <w:rsid w:val="00E878F0"/>
    <w:rsid w:val="00E87D80"/>
    <w:rsid w:val="00E90ECC"/>
    <w:rsid w:val="00E92073"/>
    <w:rsid w:val="00E92087"/>
    <w:rsid w:val="00E92419"/>
    <w:rsid w:val="00E925C9"/>
    <w:rsid w:val="00E931DC"/>
    <w:rsid w:val="00E93495"/>
    <w:rsid w:val="00E943C5"/>
    <w:rsid w:val="00E948E4"/>
    <w:rsid w:val="00E95717"/>
    <w:rsid w:val="00E95726"/>
    <w:rsid w:val="00E96BDC"/>
    <w:rsid w:val="00E97C3D"/>
    <w:rsid w:val="00E97CF8"/>
    <w:rsid w:val="00EA009D"/>
    <w:rsid w:val="00EA0248"/>
    <w:rsid w:val="00EA0FE0"/>
    <w:rsid w:val="00EA12B1"/>
    <w:rsid w:val="00EA2165"/>
    <w:rsid w:val="00EA34CE"/>
    <w:rsid w:val="00EA384A"/>
    <w:rsid w:val="00EA3EA4"/>
    <w:rsid w:val="00EA3F33"/>
    <w:rsid w:val="00EA4808"/>
    <w:rsid w:val="00EA4DF9"/>
    <w:rsid w:val="00EA5416"/>
    <w:rsid w:val="00EB1317"/>
    <w:rsid w:val="00EB1AC1"/>
    <w:rsid w:val="00EB2049"/>
    <w:rsid w:val="00EB3AF3"/>
    <w:rsid w:val="00EB4278"/>
    <w:rsid w:val="00EB4803"/>
    <w:rsid w:val="00EB487F"/>
    <w:rsid w:val="00EB543B"/>
    <w:rsid w:val="00EB564F"/>
    <w:rsid w:val="00EB572F"/>
    <w:rsid w:val="00EB5D54"/>
    <w:rsid w:val="00EB6BB2"/>
    <w:rsid w:val="00EB71A9"/>
    <w:rsid w:val="00EB721E"/>
    <w:rsid w:val="00EB7580"/>
    <w:rsid w:val="00EC01F6"/>
    <w:rsid w:val="00EC19AA"/>
    <w:rsid w:val="00EC1F11"/>
    <w:rsid w:val="00EC21C0"/>
    <w:rsid w:val="00EC2621"/>
    <w:rsid w:val="00EC2968"/>
    <w:rsid w:val="00EC2AEC"/>
    <w:rsid w:val="00EC2D32"/>
    <w:rsid w:val="00EC3C23"/>
    <w:rsid w:val="00EC3D25"/>
    <w:rsid w:val="00EC3F34"/>
    <w:rsid w:val="00EC466F"/>
    <w:rsid w:val="00EC5193"/>
    <w:rsid w:val="00EC6394"/>
    <w:rsid w:val="00EC63C8"/>
    <w:rsid w:val="00EC6995"/>
    <w:rsid w:val="00EC6D23"/>
    <w:rsid w:val="00EC7219"/>
    <w:rsid w:val="00EC7FE6"/>
    <w:rsid w:val="00ED00BD"/>
    <w:rsid w:val="00ED0196"/>
    <w:rsid w:val="00ED0AC1"/>
    <w:rsid w:val="00ED159C"/>
    <w:rsid w:val="00ED1F3B"/>
    <w:rsid w:val="00ED2CD1"/>
    <w:rsid w:val="00ED3B4C"/>
    <w:rsid w:val="00ED3F50"/>
    <w:rsid w:val="00ED42E2"/>
    <w:rsid w:val="00ED46B8"/>
    <w:rsid w:val="00ED5237"/>
    <w:rsid w:val="00ED54F9"/>
    <w:rsid w:val="00ED5755"/>
    <w:rsid w:val="00ED58D0"/>
    <w:rsid w:val="00ED6425"/>
    <w:rsid w:val="00ED6914"/>
    <w:rsid w:val="00ED6AA6"/>
    <w:rsid w:val="00ED7146"/>
    <w:rsid w:val="00ED7219"/>
    <w:rsid w:val="00EE0D59"/>
    <w:rsid w:val="00EE16A4"/>
    <w:rsid w:val="00EE1BA5"/>
    <w:rsid w:val="00EE1BE7"/>
    <w:rsid w:val="00EE2097"/>
    <w:rsid w:val="00EE3387"/>
    <w:rsid w:val="00EE4281"/>
    <w:rsid w:val="00EE43E2"/>
    <w:rsid w:val="00EE4DD8"/>
    <w:rsid w:val="00EE4E95"/>
    <w:rsid w:val="00EE5E9C"/>
    <w:rsid w:val="00EE662E"/>
    <w:rsid w:val="00EE6D83"/>
    <w:rsid w:val="00EE7404"/>
    <w:rsid w:val="00EF03A2"/>
    <w:rsid w:val="00EF0CE0"/>
    <w:rsid w:val="00EF0F8D"/>
    <w:rsid w:val="00EF12DF"/>
    <w:rsid w:val="00EF1D5A"/>
    <w:rsid w:val="00EF2BB1"/>
    <w:rsid w:val="00EF3E07"/>
    <w:rsid w:val="00EF415D"/>
    <w:rsid w:val="00EF5D8A"/>
    <w:rsid w:val="00EF66BB"/>
    <w:rsid w:val="00EF68CA"/>
    <w:rsid w:val="00EF7A50"/>
    <w:rsid w:val="00F000FB"/>
    <w:rsid w:val="00F007DD"/>
    <w:rsid w:val="00F00F47"/>
    <w:rsid w:val="00F0258D"/>
    <w:rsid w:val="00F027DA"/>
    <w:rsid w:val="00F02A68"/>
    <w:rsid w:val="00F02D31"/>
    <w:rsid w:val="00F03F36"/>
    <w:rsid w:val="00F04C25"/>
    <w:rsid w:val="00F05693"/>
    <w:rsid w:val="00F05A22"/>
    <w:rsid w:val="00F05C68"/>
    <w:rsid w:val="00F05FA0"/>
    <w:rsid w:val="00F0653F"/>
    <w:rsid w:val="00F0696F"/>
    <w:rsid w:val="00F07836"/>
    <w:rsid w:val="00F105B7"/>
    <w:rsid w:val="00F10AA8"/>
    <w:rsid w:val="00F11797"/>
    <w:rsid w:val="00F117EA"/>
    <w:rsid w:val="00F120F0"/>
    <w:rsid w:val="00F12899"/>
    <w:rsid w:val="00F135A7"/>
    <w:rsid w:val="00F13653"/>
    <w:rsid w:val="00F1374C"/>
    <w:rsid w:val="00F13E3B"/>
    <w:rsid w:val="00F15639"/>
    <w:rsid w:val="00F15F37"/>
    <w:rsid w:val="00F16079"/>
    <w:rsid w:val="00F16864"/>
    <w:rsid w:val="00F17C34"/>
    <w:rsid w:val="00F21799"/>
    <w:rsid w:val="00F21EB4"/>
    <w:rsid w:val="00F22A8D"/>
    <w:rsid w:val="00F22C61"/>
    <w:rsid w:val="00F232F5"/>
    <w:rsid w:val="00F23F39"/>
    <w:rsid w:val="00F24DDE"/>
    <w:rsid w:val="00F25980"/>
    <w:rsid w:val="00F25F18"/>
    <w:rsid w:val="00F25F69"/>
    <w:rsid w:val="00F26BD3"/>
    <w:rsid w:val="00F26FA6"/>
    <w:rsid w:val="00F27CC5"/>
    <w:rsid w:val="00F3068A"/>
    <w:rsid w:val="00F309C6"/>
    <w:rsid w:val="00F30BA4"/>
    <w:rsid w:val="00F30D3B"/>
    <w:rsid w:val="00F31326"/>
    <w:rsid w:val="00F33964"/>
    <w:rsid w:val="00F33D25"/>
    <w:rsid w:val="00F344EF"/>
    <w:rsid w:val="00F35794"/>
    <w:rsid w:val="00F362C5"/>
    <w:rsid w:val="00F36C7D"/>
    <w:rsid w:val="00F40558"/>
    <w:rsid w:val="00F411C1"/>
    <w:rsid w:val="00F42CA2"/>
    <w:rsid w:val="00F440BE"/>
    <w:rsid w:val="00F446AC"/>
    <w:rsid w:val="00F45261"/>
    <w:rsid w:val="00F459FA"/>
    <w:rsid w:val="00F45B71"/>
    <w:rsid w:val="00F45C3F"/>
    <w:rsid w:val="00F45C55"/>
    <w:rsid w:val="00F46706"/>
    <w:rsid w:val="00F46879"/>
    <w:rsid w:val="00F4712B"/>
    <w:rsid w:val="00F479E7"/>
    <w:rsid w:val="00F50B42"/>
    <w:rsid w:val="00F50D51"/>
    <w:rsid w:val="00F51554"/>
    <w:rsid w:val="00F519C0"/>
    <w:rsid w:val="00F52BF2"/>
    <w:rsid w:val="00F54785"/>
    <w:rsid w:val="00F5490C"/>
    <w:rsid w:val="00F563E0"/>
    <w:rsid w:val="00F57002"/>
    <w:rsid w:val="00F57402"/>
    <w:rsid w:val="00F6079C"/>
    <w:rsid w:val="00F614CD"/>
    <w:rsid w:val="00F614EC"/>
    <w:rsid w:val="00F617E6"/>
    <w:rsid w:val="00F619C8"/>
    <w:rsid w:val="00F62B10"/>
    <w:rsid w:val="00F62B29"/>
    <w:rsid w:val="00F62C94"/>
    <w:rsid w:val="00F62D9F"/>
    <w:rsid w:val="00F6306B"/>
    <w:rsid w:val="00F630FA"/>
    <w:rsid w:val="00F639C8"/>
    <w:rsid w:val="00F64CE1"/>
    <w:rsid w:val="00F651AC"/>
    <w:rsid w:val="00F65398"/>
    <w:rsid w:val="00F65AD8"/>
    <w:rsid w:val="00F66A05"/>
    <w:rsid w:val="00F67057"/>
    <w:rsid w:val="00F67BB2"/>
    <w:rsid w:val="00F70B7F"/>
    <w:rsid w:val="00F711E9"/>
    <w:rsid w:val="00F71BB8"/>
    <w:rsid w:val="00F720AE"/>
    <w:rsid w:val="00F72C4D"/>
    <w:rsid w:val="00F73602"/>
    <w:rsid w:val="00F738E9"/>
    <w:rsid w:val="00F73E6B"/>
    <w:rsid w:val="00F7428B"/>
    <w:rsid w:val="00F74E49"/>
    <w:rsid w:val="00F75007"/>
    <w:rsid w:val="00F75164"/>
    <w:rsid w:val="00F75216"/>
    <w:rsid w:val="00F758FB"/>
    <w:rsid w:val="00F75974"/>
    <w:rsid w:val="00F76564"/>
    <w:rsid w:val="00F766CD"/>
    <w:rsid w:val="00F767F6"/>
    <w:rsid w:val="00F76BB3"/>
    <w:rsid w:val="00F76BEC"/>
    <w:rsid w:val="00F7751D"/>
    <w:rsid w:val="00F77604"/>
    <w:rsid w:val="00F802CA"/>
    <w:rsid w:val="00F805A7"/>
    <w:rsid w:val="00F80C9E"/>
    <w:rsid w:val="00F80CA8"/>
    <w:rsid w:val="00F810C5"/>
    <w:rsid w:val="00F81CE0"/>
    <w:rsid w:val="00F81DBE"/>
    <w:rsid w:val="00F821A9"/>
    <w:rsid w:val="00F8247D"/>
    <w:rsid w:val="00F82B2E"/>
    <w:rsid w:val="00F82EF7"/>
    <w:rsid w:val="00F83BC8"/>
    <w:rsid w:val="00F83C8A"/>
    <w:rsid w:val="00F84BE9"/>
    <w:rsid w:val="00F84DDB"/>
    <w:rsid w:val="00F84EC1"/>
    <w:rsid w:val="00F85561"/>
    <w:rsid w:val="00F8579C"/>
    <w:rsid w:val="00F85C3A"/>
    <w:rsid w:val="00F85EFE"/>
    <w:rsid w:val="00F87A21"/>
    <w:rsid w:val="00F87B13"/>
    <w:rsid w:val="00F87BFB"/>
    <w:rsid w:val="00F87DE5"/>
    <w:rsid w:val="00F87F05"/>
    <w:rsid w:val="00F903C8"/>
    <w:rsid w:val="00F9044E"/>
    <w:rsid w:val="00F90A99"/>
    <w:rsid w:val="00F91158"/>
    <w:rsid w:val="00F9169D"/>
    <w:rsid w:val="00F924F5"/>
    <w:rsid w:val="00F92599"/>
    <w:rsid w:val="00F92D1C"/>
    <w:rsid w:val="00F93A3F"/>
    <w:rsid w:val="00F93ADD"/>
    <w:rsid w:val="00F93EE2"/>
    <w:rsid w:val="00F94666"/>
    <w:rsid w:val="00F96301"/>
    <w:rsid w:val="00F966B9"/>
    <w:rsid w:val="00F96818"/>
    <w:rsid w:val="00F96978"/>
    <w:rsid w:val="00F9787F"/>
    <w:rsid w:val="00FA01E5"/>
    <w:rsid w:val="00FA07D5"/>
    <w:rsid w:val="00FA1285"/>
    <w:rsid w:val="00FA153E"/>
    <w:rsid w:val="00FA15E0"/>
    <w:rsid w:val="00FA23AD"/>
    <w:rsid w:val="00FA23E0"/>
    <w:rsid w:val="00FA3EB8"/>
    <w:rsid w:val="00FA41D1"/>
    <w:rsid w:val="00FA44E9"/>
    <w:rsid w:val="00FA47D6"/>
    <w:rsid w:val="00FA52EA"/>
    <w:rsid w:val="00FA67AC"/>
    <w:rsid w:val="00FA6991"/>
    <w:rsid w:val="00FA6A73"/>
    <w:rsid w:val="00FA6EF1"/>
    <w:rsid w:val="00FA7414"/>
    <w:rsid w:val="00FB0C41"/>
    <w:rsid w:val="00FB0E56"/>
    <w:rsid w:val="00FB14D0"/>
    <w:rsid w:val="00FB18C0"/>
    <w:rsid w:val="00FB2263"/>
    <w:rsid w:val="00FB313F"/>
    <w:rsid w:val="00FB3565"/>
    <w:rsid w:val="00FB4149"/>
    <w:rsid w:val="00FB5271"/>
    <w:rsid w:val="00FB56EA"/>
    <w:rsid w:val="00FB61D2"/>
    <w:rsid w:val="00FB6BE5"/>
    <w:rsid w:val="00FB6D84"/>
    <w:rsid w:val="00FB72A4"/>
    <w:rsid w:val="00FB7556"/>
    <w:rsid w:val="00FC1460"/>
    <w:rsid w:val="00FC23EB"/>
    <w:rsid w:val="00FC2EFF"/>
    <w:rsid w:val="00FC368A"/>
    <w:rsid w:val="00FC3A20"/>
    <w:rsid w:val="00FC3FE2"/>
    <w:rsid w:val="00FC430C"/>
    <w:rsid w:val="00FC5807"/>
    <w:rsid w:val="00FC6213"/>
    <w:rsid w:val="00FC62CC"/>
    <w:rsid w:val="00FC65F0"/>
    <w:rsid w:val="00FC6F47"/>
    <w:rsid w:val="00FC763D"/>
    <w:rsid w:val="00FC7E86"/>
    <w:rsid w:val="00FD036F"/>
    <w:rsid w:val="00FD056E"/>
    <w:rsid w:val="00FD080B"/>
    <w:rsid w:val="00FD208F"/>
    <w:rsid w:val="00FD243E"/>
    <w:rsid w:val="00FD31C5"/>
    <w:rsid w:val="00FD40D7"/>
    <w:rsid w:val="00FD4885"/>
    <w:rsid w:val="00FD495A"/>
    <w:rsid w:val="00FD49CA"/>
    <w:rsid w:val="00FD5493"/>
    <w:rsid w:val="00FD5F2B"/>
    <w:rsid w:val="00FD68CF"/>
    <w:rsid w:val="00FD6FC8"/>
    <w:rsid w:val="00FD7521"/>
    <w:rsid w:val="00FE0FCD"/>
    <w:rsid w:val="00FE1DFC"/>
    <w:rsid w:val="00FE2643"/>
    <w:rsid w:val="00FE27B3"/>
    <w:rsid w:val="00FE3954"/>
    <w:rsid w:val="00FE45B7"/>
    <w:rsid w:val="00FE52ED"/>
    <w:rsid w:val="00FE64ED"/>
    <w:rsid w:val="00FE792B"/>
    <w:rsid w:val="00FF172F"/>
    <w:rsid w:val="00FF19C9"/>
    <w:rsid w:val="00FF29AD"/>
    <w:rsid w:val="00FF3A09"/>
    <w:rsid w:val="00FF3B3C"/>
    <w:rsid w:val="00FF3E8A"/>
    <w:rsid w:val="00FF40A9"/>
    <w:rsid w:val="00FF471C"/>
    <w:rsid w:val="00FF5BD9"/>
    <w:rsid w:val="00FF6C3C"/>
    <w:rsid w:val="00FF6C9C"/>
    <w:rsid w:val="00FF7194"/>
    <w:rsid w:val="00FF7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0881E09"/>
  <w15:docId w15:val="{839A4406-361D-4074-90C8-6B278125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3D"/>
    <w:rPr>
      <w:sz w:val="24"/>
      <w:szCs w:val="24"/>
      <w:lang w:eastAsia="en-US"/>
    </w:rPr>
  </w:style>
  <w:style w:type="paragraph" w:styleId="Heading1">
    <w:name w:val="heading 1"/>
    <w:basedOn w:val="Normal"/>
    <w:next w:val="Normal"/>
    <w:link w:val="Heading1Char"/>
    <w:uiPriority w:val="9"/>
    <w:qFormat/>
    <w:rsid w:val="00D1273D"/>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1273D"/>
    <w:pPr>
      <w:keepNext/>
      <w:jc w:val="center"/>
      <w:outlineLvl w:val="1"/>
    </w:pPr>
    <w:rPr>
      <w:rFonts w:ascii="Cambria" w:hAnsi="Cambria"/>
      <w:b/>
      <w:bCs/>
      <w:i/>
      <w:iCs/>
      <w:sz w:val="28"/>
      <w:szCs w:val="28"/>
    </w:rPr>
  </w:style>
  <w:style w:type="paragraph" w:styleId="Heading4">
    <w:name w:val="heading 4"/>
    <w:basedOn w:val="Normal"/>
    <w:next w:val="Normal"/>
    <w:link w:val="Heading4Char"/>
    <w:uiPriority w:val="9"/>
    <w:qFormat/>
    <w:rsid w:val="002B2650"/>
    <w:pPr>
      <w:keepNext/>
      <w:jc w:val="right"/>
      <w:outlineLvl w:val="3"/>
    </w:pPr>
    <w:rPr>
      <w:rFonts w:ascii="Calibri" w:hAnsi="Calibri"/>
      <w:b/>
      <w:bCs/>
      <w:sz w:val="28"/>
      <w:szCs w:val="28"/>
    </w:rPr>
  </w:style>
  <w:style w:type="paragraph" w:styleId="Heading5">
    <w:name w:val="heading 5"/>
    <w:basedOn w:val="Normal"/>
    <w:next w:val="Normal"/>
    <w:link w:val="Heading5Char"/>
    <w:uiPriority w:val="9"/>
    <w:qFormat/>
    <w:rsid w:val="00D1273D"/>
    <w:pPr>
      <w:keepNext/>
      <w:jc w:val="center"/>
      <w:outlineLvl w:val="4"/>
    </w:pPr>
    <w:rPr>
      <w:rFonts w:ascii="Calibri" w:hAnsi="Calibri"/>
      <w:b/>
      <w:bCs/>
      <w:i/>
      <w:iCs/>
      <w:sz w:val="26"/>
      <w:szCs w:val="26"/>
    </w:rPr>
  </w:style>
  <w:style w:type="paragraph" w:styleId="Heading7">
    <w:name w:val="heading 7"/>
    <w:basedOn w:val="Normal"/>
    <w:next w:val="Normal"/>
    <w:link w:val="Heading7Char"/>
    <w:uiPriority w:val="9"/>
    <w:qFormat/>
    <w:rsid w:val="00D1273D"/>
    <w:pPr>
      <w:keepNext/>
      <w:ind w:left="3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273D"/>
    <w:rPr>
      <w:rFonts w:ascii="Cambria" w:eastAsia="Times New Roman" w:hAnsi="Cambria" w:cs="Times New Roman"/>
      <w:b/>
      <w:bCs/>
      <w:kern w:val="32"/>
      <w:sz w:val="32"/>
      <w:szCs w:val="32"/>
      <w:lang w:val="lv-LV"/>
    </w:rPr>
  </w:style>
  <w:style w:type="character" w:customStyle="1" w:styleId="Heading2Char">
    <w:name w:val="Heading 2 Char"/>
    <w:link w:val="Heading2"/>
    <w:uiPriority w:val="9"/>
    <w:semiHidden/>
    <w:rsid w:val="00D1273D"/>
    <w:rPr>
      <w:rFonts w:ascii="Cambria" w:eastAsia="Times New Roman" w:hAnsi="Cambria" w:cs="Times New Roman"/>
      <w:b/>
      <w:bCs/>
      <w:i/>
      <w:iCs/>
      <w:sz w:val="28"/>
      <w:szCs w:val="28"/>
      <w:lang w:val="lv-LV"/>
    </w:rPr>
  </w:style>
  <w:style w:type="character" w:customStyle="1" w:styleId="Heading4Char">
    <w:name w:val="Heading 4 Char"/>
    <w:link w:val="Heading4"/>
    <w:uiPriority w:val="9"/>
    <w:semiHidden/>
    <w:rsid w:val="00D1273D"/>
    <w:rPr>
      <w:rFonts w:ascii="Calibri" w:eastAsia="Times New Roman" w:hAnsi="Calibri" w:cs="Times New Roman"/>
      <w:b/>
      <w:bCs/>
      <w:sz w:val="28"/>
      <w:szCs w:val="28"/>
      <w:lang w:val="lv-LV"/>
    </w:rPr>
  </w:style>
  <w:style w:type="character" w:customStyle="1" w:styleId="Heading5Char">
    <w:name w:val="Heading 5 Char"/>
    <w:link w:val="Heading5"/>
    <w:uiPriority w:val="9"/>
    <w:semiHidden/>
    <w:rsid w:val="00D1273D"/>
    <w:rPr>
      <w:rFonts w:ascii="Calibri" w:eastAsia="Times New Roman" w:hAnsi="Calibri" w:cs="Times New Roman"/>
      <w:b/>
      <w:bCs/>
      <w:i/>
      <w:iCs/>
      <w:sz w:val="26"/>
      <w:szCs w:val="26"/>
      <w:lang w:val="lv-LV"/>
    </w:rPr>
  </w:style>
  <w:style w:type="character" w:customStyle="1" w:styleId="Heading7Char">
    <w:name w:val="Heading 7 Char"/>
    <w:link w:val="Heading7"/>
    <w:uiPriority w:val="9"/>
    <w:semiHidden/>
    <w:rsid w:val="00D1273D"/>
    <w:rPr>
      <w:rFonts w:ascii="Calibri" w:eastAsia="Times New Roman" w:hAnsi="Calibri" w:cs="Times New Roman"/>
      <w:sz w:val="24"/>
      <w:szCs w:val="24"/>
      <w:lang w:val="lv-LV"/>
    </w:rPr>
  </w:style>
  <w:style w:type="paragraph" w:styleId="BalloonText">
    <w:name w:val="Balloon Text"/>
    <w:basedOn w:val="Normal"/>
    <w:link w:val="BalloonTextChar"/>
    <w:uiPriority w:val="99"/>
    <w:semiHidden/>
    <w:rsid w:val="005548BD"/>
    <w:rPr>
      <w:rFonts w:ascii="Tahoma" w:hAnsi="Tahoma" w:cs="Tahoma"/>
      <w:sz w:val="16"/>
      <w:szCs w:val="16"/>
    </w:rPr>
  </w:style>
  <w:style w:type="character" w:customStyle="1" w:styleId="FootnoteTextChar">
    <w:name w:val="Footnote Text Char"/>
    <w:aliases w:val="Footnote Char,Fußnote Char,Char Char,Char Rakstz. Rakstz. Rakstz. Rakstz. Rakstz. Rakstz. Rakstz. Char,Char Rakstz. Rakstz. Rakstz. Rakstz. Rakstz. Rakstz. Char,single spa Char"/>
    <w:link w:val="FootnoteText"/>
    <w:uiPriority w:val="99"/>
    <w:locked/>
    <w:rsid w:val="007A7C8B"/>
    <w:rPr>
      <w:rFonts w:cs="Times New Roman"/>
      <w:lang w:val="lv-LV" w:eastAsia="lv-LV" w:bidi="ar-SA"/>
    </w:rPr>
  </w:style>
  <w:style w:type="paragraph" w:styleId="EnvelopeAddress">
    <w:name w:val="envelope address"/>
    <w:basedOn w:val="Normal"/>
    <w:uiPriority w:val="99"/>
    <w:rsid w:val="00D1273D"/>
    <w:pPr>
      <w:framePr w:w="7920" w:h="1980" w:hRule="exact" w:hSpace="180" w:wrap="auto" w:hAnchor="page" w:xAlign="center" w:yAlign="bottom"/>
      <w:ind w:left="2880"/>
    </w:pPr>
    <w:rPr>
      <w:rFonts w:ascii="Garamond" w:hAnsi="Garamond" w:cs="Arial"/>
      <w:b/>
      <w:sz w:val="36"/>
      <w:szCs w:val="36"/>
    </w:rPr>
  </w:style>
  <w:style w:type="paragraph" w:styleId="EnvelopeReturn">
    <w:name w:val="envelope return"/>
    <w:basedOn w:val="Normal"/>
    <w:uiPriority w:val="99"/>
    <w:rsid w:val="00D1273D"/>
    <w:rPr>
      <w:rFonts w:ascii="Garamond" w:hAnsi="Garamond" w:cs="Arial"/>
      <w:b/>
    </w:rPr>
  </w:style>
  <w:style w:type="paragraph" w:styleId="BodyText2">
    <w:name w:val="Body Text 2"/>
    <w:basedOn w:val="Normal"/>
    <w:link w:val="BodyText2Char"/>
    <w:uiPriority w:val="99"/>
    <w:rsid w:val="00D1273D"/>
    <w:pPr>
      <w:jc w:val="both"/>
    </w:pPr>
  </w:style>
  <w:style w:type="character" w:customStyle="1" w:styleId="BodyText2Char">
    <w:name w:val="Body Text 2 Char"/>
    <w:link w:val="BodyText2"/>
    <w:uiPriority w:val="99"/>
    <w:semiHidden/>
    <w:rsid w:val="00D1273D"/>
    <w:rPr>
      <w:sz w:val="24"/>
      <w:szCs w:val="24"/>
      <w:lang w:val="lv-LV"/>
    </w:rPr>
  </w:style>
  <w:style w:type="paragraph" w:styleId="NormalWeb">
    <w:name w:val="Normal (Web)"/>
    <w:basedOn w:val="Normal"/>
    <w:uiPriority w:val="99"/>
    <w:rsid w:val="00D1273D"/>
    <w:pPr>
      <w:spacing w:before="100" w:beforeAutospacing="1" w:after="100" w:afterAutospacing="1"/>
    </w:pPr>
    <w:rPr>
      <w:lang w:val="en-GB"/>
    </w:rPr>
  </w:style>
  <w:style w:type="paragraph" w:customStyle="1" w:styleId="naisc">
    <w:name w:val="naisc"/>
    <w:basedOn w:val="Normal"/>
    <w:rsid w:val="00D1273D"/>
    <w:pPr>
      <w:spacing w:before="100" w:beforeAutospacing="1" w:after="100" w:afterAutospacing="1"/>
      <w:jc w:val="center"/>
    </w:pPr>
    <w:rPr>
      <w:lang w:val="en-GB"/>
    </w:rPr>
  </w:style>
  <w:style w:type="paragraph" w:styleId="Header">
    <w:name w:val="header"/>
    <w:basedOn w:val="Normal"/>
    <w:link w:val="HeaderChar"/>
    <w:uiPriority w:val="99"/>
    <w:rsid w:val="00D1273D"/>
    <w:pPr>
      <w:tabs>
        <w:tab w:val="center" w:pos="4153"/>
        <w:tab w:val="right" w:pos="8306"/>
      </w:tabs>
    </w:pPr>
  </w:style>
  <w:style w:type="character" w:customStyle="1" w:styleId="HeaderChar">
    <w:name w:val="Header Char"/>
    <w:link w:val="Header"/>
    <w:uiPriority w:val="99"/>
    <w:semiHidden/>
    <w:rsid w:val="00D1273D"/>
    <w:rPr>
      <w:sz w:val="24"/>
      <w:szCs w:val="24"/>
      <w:lang w:val="lv-LV"/>
    </w:rPr>
  </w:style>
  <w:style w:type="paragraph" w:styleId="Footer">
    <w:name w:val="footer"/>
    <w:basedOn w:val="Normal"/>
    <w:link w:val="FooterChar"/>
    <w:uiPriority w:val="99"/>
    <w:rsid w:val="00D1273D"/>
    <w:pPr>
      <w:tabs>
        <w:tab w:val="center" w:pos="4153"/>
        <w:tab w:val="right" w:pos="8306"/>
      </w:tabs>
    </w:pPr>
  </w:style>
  <w:style w:type="character" w:customStyle="1" w:styleId="FooterChar">
    <w:name w:val="Footer Char"/>
    <w:link w:val="Footer"/>
    <w:uiPriority w:val="99"/>
    <w:rsid w:val="00D1273D"/>
    <w:rPr>
      <w:sz w:val="24"/>
      <w:szCs w:val="24"/>
      <w:lang w:val="lv-LV"/>
    </w:rPr>
  </w:style>
  <w:style w:type="character" w:styleId="PageNumber">
    <w:name w:val="page number"/>
    <w:uiPriority w:val="99"/>
    <w:rsid w:val="00D1273D"/>
    <w:rPr>
      <w:rFonts w:cs="Times New Roman"/>
    </w:rPr>
  </w:style>
  <w:style w:type="paragraph" w:styleId="BodyText">
    <w:name w:val="Body Text"/>
    <w:basedOn w:val="Normal"/>
    <w:link w:val="BodyTextChar"/>
    <w:uiPriority w:val="99"/>
    <w:rsid w:val="00D1273D"/>
    <w:pPr>
      <w:jc w:val="both"/>
    </w:pPr>
  </w:style>
  <w:style w:type="character" w:customStyle="1" w:styleId="BodyTextChar">
    <w:name w:val="Body Text Char"/>
    <w:link w:val="BodyText"/>
    <w:uiPriority w:val="99"/>
    <w:semiHidden/>
    <w:rsid w:val="00D1273D"/>
    <w:rPr>
      <w:sz w:val="24"/>
      <w:szCs w:val="24"/>
      <w:lang w:val="lv-LV"/>
    </w:rPr>
  </w:style>
  <w:style w:type="character" w:styleId="Hyperlink">
    <w:name w:val="Hyperlink"/>
    <w:uiPriority w:val="99"/>
    <w:rsid w:val="00D1273D"/>
    <w:rPr>
      <w:rFonts w:cs="Times New Roman"/>
      <w:color w:val="0000FF"/>
      <w:u w:val="single"/>
    </w:rPr>
  </w:style>
  <w:style w:type="paragraph" w:customStyle="1" w:styleId="naisf">
    <w:name w:val="naisf"/>
    <w:basedOn w:val="Normal"/>
    <w:rsid w:val="00FC430C"/>
    <w:pPr>
      <w:spacing w:before="100" w:beforeAutospacing="1" w:after="100" w:afterAutospacing="1"/>
      <w:jc w:val="both"/>
    </w:pPr>
    <w:rPr>
      <w:rFonts w:eastAsia="Arial Unicode MS"/>
      <w:lang w:val="en-GB"/>
    </w:rPr>
  </w:style>
  <w:style w:type="paragraph" w:customStyle="1" w:styleId="G4">
    <w:name w:val="G4"/>
    <w:basedOn w:val="Normal"/>
    <w:autoRedefine/>
    <w:uiPriority w:val="99"/>
    <w:rsid w:val="001D3987"/>
    <w:pPr>
      <w:jc w:val="both"/>
    </w:pPr>
  </w:style>
  <w:style w:type="paragraph" w:customStyle="1" w:styleId="xl24">
    <w:name w:val="xl24"/>
    <w:basedOn w:val="Normal"/>
    <w:uiPriority w:val="99"/>
    <w:rsid w:val="002B2650"/>
    <w:pPr>
      <w:pBdr>
        <w:bottom w:val="single" w:sz="4" w:space="0" w:color="auto"/>
        <w:right w:val="single" w:sz="4" w:space="0" w:color="auto"/>
      </w:pBdr>
      <w:spacing w:before="100" w:beforeAutospacing="1" w:after="100" w:afterAutospacing="1"/>
      <w:jc w:val="center"/>
      <w:textAlignment w:val="top"/>
    </w:pPr>
    <w:rPr>
      <w:rFonts w:eastAsia="Arial Unicode MS"/>
      <w:sz w:val="28"/>
      <w:szCs w:val="28"/>
      <w:lang w:val="en-GB"/>
    </w:rPr>
  </w:style>
  <w:style w:type="character" w:styleId="FollowedHyperlink">
    <w:name w:val="FollowedHyperlink"/>
    <w:uiPriority w:val="99"/>
    <w:rsid w:val="00184C32"/>
    <w:rPr>
      <w:rFonts w:cs="Times New Roman"/>
      <w:color w:val="800080"/>
      <w:u w:val="single"/>
    </w:rPr>
  </w:style>
  <w:style w:type="character" w:styleId="Strong">
    <w:name w:val="Strong"/>
    <w:uiPriority w:val="22"/>
    <w:qFormat/>
    <w:rsid w:val="00EC21C0"/>
    <w:rPr>
      <w:rFonts w:cs="Times New Roman"/>
      <w:b/>
      <w:bCs/>
    </w:rPr>
  </w:style>
  <w:style w:type="paragraph" w:styleId="BodyTextIndent">
    <w:name w:val="Body Text Indent"/>
    <w:basedOn w:val="Normal"/>
    <w:link w:val="BodyTextIndentChar"/>
    <w:uiPriority w:val="99"/>
    <w:rsid w:val="001F6BC5"/>
    <w:pPr>
      <w:spacing w:after="120"/>
      <w:ind w:left="283"/>
    </w:pPr>
  </w:style>
  <w:style w:type="character" w:customStyle="1" w:styleId="BodyTextIndentChar">
    <w:name w:val="Body Text Indent Char"/>
    <w:link w:val="BodyTextIndent"/>
    <w:uiPriority w:val="99"/>
    <w:semiHidden/>
    <w:rsid w:val="00D1273D"/>
    <w:rPr>
      <w:sz w:val="24"/>
      <w:szCs w:val="24"/>
      <w:lang w:val="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qFormat/>
    <w:rsid w:val="0059541B"/>
    <w:rPr>
      <w:sz w:val="20"/>
      <w:szCs w:val="20"/>
      <w:lang w:eastAsia="lv-LV"/>
    </w:rPr>
  </w:style>
  <w:style w:type="paragraph" w:customStyle="1" w:styleId="CharChar4Char1">
    <w:name w:val="Char Char4 Char1"/>
    <w:basedOn w:val="Normal"/>
    <w:next w:val="BlockText"/>
    <w:uiPriority w:val="99"/>
    <w:rsid w:val="00640263"/>
    <w:pPr>
      <w:spacing w:before="120" w:after="160" w:line="240" w:lineRule="exact"/>
      <w:ind w:firstLine="720"/>
      <w:jc w:val="both"/>
    </w:pPr>
    <w:rPr>
      <w:rFonts w:ascii="Verdana" w:hAnsi="Verdana"/>
      <w:sz w:val="20"/>
      <w:szCs w:val="20"/>
      <w:lang w:val="en-US"/>
    </w:rPr>
  </w:style>
  <w:style w:type="character" w:styleId="FootnoteReference">
    <w:name w:val="footnote reference"/>
    <w:aliases w:val="Footnote Reference Number,SUPERS,Footnote symbol,Footnote Refernece,ftref,Footnote Reference Superscript,Vēres atsauce,Odwołanie przypisu,BVI fnr,Footnotes refss,Ref,de nota al pie,-E Fußnotenzeichen,Footnote reference number,E,E FNZ"/>
    <w:link w:val="CharCharCharChar"/>
    <w:uiPriority w:val="99"/>
    <w:qFormat/>
    <w:rsid w:val="0059541B"/>
    <w:rPr>
      <w:rFonts w:cs="Times New Roman"/>
      <w:vertAlign w:val="superscript"/>
    </w:rPr>
  </w:style>
  <w:style w:type="character" w:styleId="CommentReference">
    <w:name w:val="annotation reference"/>
    <w:uiPriority w:val="99"/>
    <w:rsid w:val="00162A40"/>
    <w:rPr>
      <w:rFonts w:cs="Times New Roman"/>
      <w:sz w:val="16"/>
      <w:szCs w:val="16"/>
    </w:rPr>
  </w:style>
  <w:style w:type="paragraph" w:styleId="CommentText">
    <w:name w:val="annotation text"/>
    <w:basedOn w:val="Normal"/>
    <w:link w:val="CommentTextChar"/>
    <w:uiPriority w:val="99"/>
    <w:rsid w:val="00162A40"/>
    <w:rPr>
      <w:sz w:val="20"/>
      <w:szCs w:val="20"/>
    </w:rPr>
  </w:style>
  <w:style w:type="character" w:customStyle="1" w:styleId="CommentTextChar">
    <w:name w:val="Comment Text Char"/>
    <w:link w:val="CommentText"/>
    <w:uiPriority w:val="99"/>
    <w:rsid w:val="00D1273D"/>
    <w:rPr>
      <w:sz w:val="20"/>
      <w:szCs w:val="20"/>
      <w:lang w:val="lv-LV"/>
    </w:rPr>
  </w:style>
  <w:style w:type="paragraph" w:styleId="CommentSubject">
    <w:name w:val="annotation subject"/>
    <w:basedOn w:val="CommentText"/>
    <w:next w:val="CommentText"/>
    <w:link w:val="CommentSubjectChar"/>
    <w:uiPriority w:val="99"/>
    <w:semiHidden/>
    <w:rsid w:val="00162A40"/>
    <w:rPr>
      <w:b/>
      <w:bCs/>
    </w:rPr>
  </w:style>
  <w:style w:type="character" w:customStyle="1" w:styleId="CommentSubjectChar">
    <w:name w:val="Comment Subject Char"/>
    <w:link w:val="CommentSubject"/>
    <w:uiPriority w:val="99"/>
    <w:semiHidden/>
    <w:rsid w:val="00D1273D"/>
    <w:rPr>
      <w:b/>
      <w:bCs/>
      <w:sz w:val="20"/>
      <w:szCs w:val="20"/>
      <w:lang w:val="lv-LV"/>
    </w:rPr>
  </w:style>
  <w:style w:type="paragraph" w:customStyle="1" w:styleId="CharChar4Char">
    <w:name w:val="Char Char4 Char"/>
    <w:basedOn w:val="Normal"/>
    <w:next w:val="BlockText"/>
    <w:uiPriority w:val="99"/>
    <w:rsid w:val="0032178A"/>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rsid w:val="0032178A"/>
    <w:pPr>
      <w:spacing w:after="120"/>
      <w:ind w:left="1440" w:right="1440"/>
    </w:pPr>
  </w:style>
  <w:style w:type="paragraph" w:customStyle="1" w:styleId="EE-H3">
    <w:name w:val="EE-H3"/>
    <w:basedOn w:val="Normal"/>
    <w:autoRedefine/>
    <w:uiPriority w:val="99"/>
    <w:rsid w:val="00D0369B"/>
    <w:pPr>
      <w:ind w:right="6"/>
      <w:jc w:val="both"/>
    </w:pPr>
    <w:rPr>
      <w:lang w:eastAsia="lv-LV"/>
    </w:rPr>
  </w:style>
  <w:style w:type="character" w:customStyle="1" w:styleId="BalloonTextChar">
    <w:name w:val="Balloon Text Char"/>
    <w:link w:val="BalloonText"/>
    <w:uiPriority w:val="99"/>
    <w:semiHidden/>
    <w:locked/>
    <w:rsid w:val="007C4095"/>
    <w:rPr>
      <w:rFonts w:ascii="Tahoma" w:hAnsi="Tahoma" w:cs="Tahoma"/>
      <w:sz w:val="16"/>
      <w:szCs w:val="16"/>
      <w:lang w:val="lv-LV" w:eastAsia="en-US" w:bidi="ar-SA"/>
    </w:rPr>
  </w:style>
  <w:style w:type="paragraph" w:customStyle="1" w:styleId="CharChar4CharCharCharChar">
    <w:name w:val="Char Char4 Char Char Char Char"/>
    <w:basedOn w:val="Normal"/>
    <w:next w:val="BlockText"/>
    <w:rsid w:val="007E21EC"/>
    <w:pPr>
      <w:spacing w:before="120" w:after="160" w:line="240" w:lineRule="exact"/>
      <w:ind w:firstLine="720"/>
      <w:jc w:val="both"/>
    </w:pPr>
    <w:rPr>
      <w:rFonts w:ascii="Verdana" w:hAnsi="Verdana"/>
      <w:sz w:val="20"/>
      <w:szCs w:val="20"/>
      <w:lang w:val="en-US"/>
    </w:rPr>
  </w:style>
  <w:style w:type="paragraph" w:customStyle="1" w:styleId="1">
    <w:name w:val="1"/>
    <w:basedOn w:val="Normal"/>
    <w:rsid w:val="00FD495A"/>
    <w:pPr>
      <w:spacing w:after="160" w:line="240" w:lineRule="exact"/>
    </w:pPr>
    <w:rPr>
      <w:rFonts w:ascii="Tahoma" w:hAnsi="Tahoma"/>
      <w:sz w:val="20"/>
      <w:szCs w:val="20"/>
      <w:lang w:val="en-US"/>
    </w:rPr>
  </w:style>
  <w:style w:type="paragraph" w:customStyle="1" w:styleId="Default">
    <w:name w:val="Default"/>
    <w:rsid w:val="000518C5"/>
    <w:pPr>
      <w:autoSpaceDE w:val="0"/>
      <w:autoSpaceDN w:val="0"/>
      <w:adjustRightInd w:val="0"/>
    </w:pPr>
    <w:rPr>
      <w:color w:val="000000"/>
      <w:sz w:val="24"/>
      <w:szCs w:val="24"/>
    </w:rPr>
  </w:style>
  <w:style w:type="paragraph" w:customStyle="1" w:styleId="RakstzCharCharRakstzCharCharRakstz">
    <w:name w:val="Rakstz. Char Char Rakstz. Char Char Rakstz."/>
    <w:basedOn w:val="Normal"/>
    <w:rsid w:val="00906472"/>
    <w:pPr>
      <w:spacing w:after="160" w:line="240" w:lineRule="exact"/>
    </w:pPr>
    <w:rPr>
      <w:rFonts w:ascii="Tahoma" w:hAnsi="Tahoma"/>
      <w:sz w:val="20"/>
      <w:szCs w:val="20"/>
      <w:lang w:val="en-US"/>
    </w:rPr>
  </w:style>
  <w:style w:type="paragraph" w:customStyle="1" w:styleId="naisnod">
    <w:name w:val="naisnod"/>
    <w:basedOn w:val="Normal"/>
    <w:rsid w:val="00FB0C41"/>
    <w:pPr>
      <w:spacing w:before="100" w:beforeAutospacing="1" w:after="100" w:afterAutospacing="1"/>
    </w:pPr>
    <w:rPr>
      <w:lang w:eastAsia="lv-LV" w:bidi="lo-LA"/>
    </w:rPr>
  </w:style>
  <w:style w:type="paragraph" w:customStyle="1" w:styleId="naiskr">
    <w:name w:val="naiskr"/>
    <w:basedOn w:val="Normal"/>
    <w:rsid w:val="00FB0C41"/>
    <w:pPr>
      <w:spacing w:before="100" w:beforeAutospacing="1" w:after="100" w:afterAutospacing="1"/>
    </w:pPr>
    <w:rPr>
      <w:lang w:eastAsia="lv-LV" w:bidi="lo-LA"/>
    </w:rPr>
  </w:style>
  <w:style w:type="paragraph" w:customStyle="1" w:styleId="naislab">
    <w:name w:val="naislab"/>
    <w:basedOn w:val="Normal"/>
    <w:rsid w:val="00FB0C41"/>
    <w:pPr>
      <w:spacing w:before="100" w:beforeAutospacing="1" w:after="100" w:afterAutospacing="1"/>
    </w:pPr>
    <w:rPr>
      <w:lang w:eastAsia="lv-LV" w:bidi="lo-LA"/>
    </w:rPr>
  </w:style>
  <w:style w:type="character" w:customStyle="1" w:styleId="spelle">
    <w:name w:val="spelle"/>
    <w:basedOn w:val="DefaultParagraphFont"/>
    <w:rsid w:val="002F4AA1"/>
  </w:style>
  <w:style w:type="table" w:styleId="TableGrid">
    <w:name w:val="Table Grid"/>
    <w:basedOn w:val="TableNormal"/>
    <w:uiPriority w:val="59"/>
    <w:rsid w:val="00BE0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vhtml">
    <w:name w:val="tv_html"/>
    <w:basedOn w:val="Normal"/>
    <w:rsid w:val="00861B14"/>
    <w:pPr>
      <w:spacing w:before="100" w:beforeAutospacing="1" w:after="100" w:afterAutospacing="1"/>
    </w:pPr>
    <w:rPr>
      <w:rFonts w:ascii="Verdana" w:hAnsi="Verdana"/>
      <w:sz w:val="18"/>
      <w:szCs w:val="18"/>
      <w:lang w:val="en-US"/>
    </w:rPr>
  </w:style>
  <w:style w:type="character" w:customStyle="1" w:styleId="apple-converted-space">
    <w:name w:val="apple-converted-space"/>
    <w:basedOn w:val="DefaultParagraphFont"/>
    <w:rsid w:val="003536A6"/>
  </w:style>
  <w:style w:type="paragraph" w:styleId="ListParagraph">
    <w:name w:val="List Paragraph"/>
    <w:aliases w:val="2,H&amp;P List Paragraph,Strip,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CB2573"/>
    <w:pPr>
      <w:ind w:left="720"/>
      <w:contextualSpacing/>
    </w:pPr>
  </w:style>
  <w:style w:type="paragraph" w:styleId="NoSpacing">
    <w:name w:val="No Spacing"/>
    <w:aliases w:val="Normal1,No Spacing1,Parastais"/>
    <w:link w:val="NoSpacingChar"/>
    <w:uiPriority w:val="1"/>
    <w:qFormat/>
    <w:rsid w:val="00BB4913"/>
    <w:rPr>
      <w:rFonts w:ascii="Calibri" w:hAnsi="Calibri" w:cs="Calibri"/>
      <w:sz w:val="22"/>
      <w:szCs w:val="22"/>
      <w:lang w:val="en-US" w:eastAsia="en-US"/>
    </w:rPr>
  </w:style>
  <w:style w:type="paragraph" w:styleId="DocumentMap">
    <w:name w:val="Document Map"/>
    <w:basedOn w:val="Normal"/>
    <w:link w:val="DocumentMapChar"/>
    <w:uiPriority w:val="99"/>
    <w:semiHidden/>
    <w:unhideWhenUsed/>
    <w:rsid w:val="00326D94"/>
    <w:rPr>
      <w:rFonts w:ascii="Tahoma" w:hAnsi="Tahoma" w:cs="Tahoma"/>
      <w:sz w:val="16"/>
      <w:szCs w:val="16"/>
    </w:rPr>
  </w:style>
  <w:style w:type="character" w:customStyle="1" w:styleId="DocumentMapChar">
    <w:name w:val="Document Map Char"/>
    <w:basedOn w:val="DefaultParagraphFont"/>
    <w:link w:val="DocumentMap"/>
    <w:uiPriority w:val="99"/>
    <w:semiHidden/>
    <w:rsid w:val="00326D94"/>
    <w:rPr>
      <w:rFonts w:ascii="Tahoma" w:hAnsi="Tahoma" w:cs="Tahoma"/>
      <w:sz w:val="16"/>
      <w:szCs w:val="16"/>
      <w:lang w:val="lv-LV"/>
    </w:rPr>
  </w:style>
  <w:style w:type="paragraph" w:customStyle="1" w:styleId="tv2131">
    <w:name w:val="tv2131"/>
    <w:basedOn w:val="Normal"/>
    <w:rsid w:val="00217BB5"/>
    <w:pPr>
      <w:spacing w:line="360" w:lineRule="auto"/>
      <w:ind w:firstLine="300"/>
    </w:pPr>
    <w:rPr>
      <w:color w:val="414142"/>
      <w:sz w:val="20"/>
      <w:szCs w:val="20"/>
      <w:lang w:val="en-US"/>
    </w:rPr>
  </w:style>
  <w:style w:type="paragraph" w:customStyle="1" w:styleId="tv2121">
    <w:name w:val="tv2121"/>
    <w:basedOn w:val="Normal"/>
    <w:rsid w:val="003735C6"/>
    <w:pPr>
      <w:spacing w:before="400" w:line="360" w:lineRule="auto"/>
      <w:jc w:val="center"/>
    </w:pPr>
    <w:rPr>
      <w:rFonts w:ascii="Verdana" w:hAnsi="Verdana"/>
      <w:b/>
      <w:bCs/>
      <w:sz w:val="20"/>
      <w:szCs w:val="20"/>
      <w:lang w:eastAsia="lv-LV"/>
    </w:rPr>
  </w:style>
  <w:style w:type="character" w:customStyle="1" w:styleId="ListParagraphChar">
    <w:name w:val="List Paragraph Char"/>
    <w:aliases w:val="2 Char,H&amp;P List Paragraph Char,Strip Char,Akapit z listą BS Char,Bullet 1 Char,Bullet Points Char,Dot pt Char,F5 List Paragraph Char,IFCL - List Paragraph Char,Indicator Text Char,List Paragraph Char Char Char Char,MAIN CONTENT Char"/>
    <w:link w:val="ListParagraph"/>
    <w:uiPriority w:val="34"/>
    <w:qFormat/>
    <w:locked/>
    <w:rsid w:val="000F2E5B"/>
    <w:rPr>
      <w:sz w:val="24"/>
      <w:szCs w:val="24"/>
      <w:lang w:eastAsia="en-US"/>
    </w:rPr>
  </w:style>
  <w:style w:type="paragraph" w:customStyle="1" w:styleId="teksts">
    <w:name w:val="teksts"/>
    <w:basedOn w:val="Normal"/>
    <w:link w:val="tekstsChar"/>
    <w:uiPriority w:val="99"/>
    <w:rsid w:val="007F3A28"/>
    <w:pPr>
      <w:ind w:firstLine="720"/>
      <w:jc w:val="both"/>
    </w:pPr>
    <w:rPr>
      <w:rFonts w:cs="Helv"/>
      <w:color w:val="000000"/>
      <w:szCs w:val="20"/>
    </w:rPr>
  </w:style>
  <w:style w:type="character" w:customStyle="1" w:styleId="tekstsChar">
    <w:name w:val="teksts Char"/>
    <w:basedOn w:val="DefaultParagraphFont"/>
    <w:link w:val="teksts"/>
    <w:uiPriority w:val="99"/>
    <w:locked/>
    <w:rsid w:val="007F3A28"/>
    <w:rPr>
      <w:rFonts w:cs="Helv"/>
      <w:color w:val="000000"/>
      <w:sz w:val="24"/>
      <w:lang w:eastAsia="en-US"/>
    </w:rPr>
  </w:style>
  <w:style w:type="character" w:customStyle="1" w:styleId="FontStyle26">
    <w:name w:val="Font Style26"/>
    <w:basedOn w:val="DefaultParagraphFont"/>
    <w:uiPriority w:val="99"/>
    <w:rsid w:val="007109EB"/>
    <w:rPr>
      <w:rFonts w:ascii="Times New Roman" w:hAnsi="Times New Roman" w:cs="Times New Roman"/>
      <w:sz w:val="26"/>
      <w:szCs w:val="26"/>
    </w:rPr>
  </w:style>
  <w:style w:type="paragraph" w:styleId="TOC3">
    <w:name w:val="toc 3"/>
    <w:basedOn w:val="Normal"/>
    <w:next w:val="Normal"/>
    <w:autoRedefine/>
    <w:uiPriority w:val="39"/>
    <w:unhideWhenUsed/>
    <w:rsid w:val="005D18B6"/>
    <w:pPr>
      <w:framePr w:hSpace="180" w:wrap="around" w:vAnchor="text" w:hAnchor="margin" w:x="5" w:y="149"/>
      <w:spacing w:before="40" w:after="40"/>
      <w:ind w:left="57" w:right="57" w:firstLine="284"/>
      <w:jc w:val="both"/>
    </w:pPr>
    <w:rPr>
      <w:lang w:eastAsia="lv-LV"/>
    </w:rPr>
  </w:style>
  <w:style w:type="paragraph" w:customStyle="1" w:styleId="tv213">
    <w:name w:val="tv213"/>
    <w:basedOn w:val="Normal"/>
    <w:rsid w:val="00A94638"/>
    <w:pPr>
      <w:spacing w:before="100" w:beforeAutospacing="1" w:after="100" w:afterAutospacing="1"/>
    </w:pPr>
    <w:rPr>
      <w:lang w:eastAsia="lv-LV"/>
    </w:rPr>
  </w:style>
  <w:style w:type="paragraph" w:customStyle="1" w:styleId="CharCharCharChar">
    <w:name w:val="Char Char Char Char"/>
    <w:aliases w:val="Char2"/>
    <w:basedOn w:val="Normal"/>
    <w:next w:val="Normal"/>
    <w:link w:val="FootnoteReference"/>
    <w:uiPriority w:val="99"/>
    <w:rsid w:val="00C065AA"/>
    <w:pPr>
      <w:keepNext/>
      <w:keepLines/>
      <w:spacing w:before="120" w:after="160" w:line="240" w:lineRule="exact"/>
      <w:jc w:val="both"/>
      <w:textAlignment w:val="baseline"/>
      <w:outlineLvl w:val="0"/>
    </w:pPr>
    <w:rPr>
      <w:sz w:val="20"/>
      <w:szCs w:val="20"/>
      <w:vertAlign w:val="superscript"/>
      <w:lang w:eastAsia="lv-LV"/>
    </w:rPr>
  </w:style>
  <w:style w:type="character" w:customStyle="1" w:styleId="CaptionChar">
    <w:name w:val="Caption Char"/>
    <w:link w:val="Caption"/>
    <w:locked/>
    <w:rsid w:val="00C065AA"/>
    <w:rPr>
      <w:b/>
      <w:bCs/>
    </w:rPr>
  </w:style>
  <w:style w:type="paragraph" w:styleId="Caption">
    <w:name w:val="caption"/>
    <w:basedOn w:val="Normal"/>
    <w:next w:val="Normal"/>
    <w:link w:val="CaptionChar"/>
    <w:qFormat/>
    <w:rsid w:val="00C065AA"/>
    <w:rPr>
      <w:b/>
      <w:bCs/>
      <w:sz w:val="20"/>
      <w:szCs w:val="20"/>
      <w:lang w:eastAsia="lv-LV"/>
    </w:rPr>
  </w:style>
  <w:style w:type="character" w:customStyle="1" w:styleId="NoSpacingChar">
    <w:name w:val="No Spacing Char"/>
    <w:aliases w:val="Normal1 Char,No Spacing1 Char,Parastais Char"/>
    <w:link w:val="NoSpacing"/>
    <w:uiPriority w:val="1"/>
    <w:locked/>
    <w:rsid w:val="00AC0FDA"/>
    <w:rPr>
      <w:rFonts w:ascii="Calibri" w:hAnsi="Calibri" w:cs="Calibri"/>
      <w:sz w:val="22"/>
      <w:szCs w:val="22"/>
      <w:lang w:val="en-US" w:eastAsia="en-US"/>
    </w:rPr>
  </w:style>
  <w:style w:type="paragraph" w:styleId="Revision">
    <w:name w:val="Revision"/>
    <w:hidden/>
    <w:uiPriority w:val="99"/>
    <w:semiHidden/>
    <w:rsid w:val="008D3870"/>
    <w:rPr>
      <w:sz w:val="24"/>
      <w:szCs w:val="24"/>
      <w:lang w:eastAsia="en-US"/>
    </w:rPr>
  </w:style>
  <w:style w:type="paragraph" w:customStyle="1" w:styleId="xxxmsolistparagraph">
    <w:name w:val="x_x_x_msolistparagraph"/>
    <w:basedOn w:val="Normal"/>
    <w:rsid w:val="00343908"/>
    <w:pPr>
      <w:spacing w:before="100" w:beforeAutospacing="1" w:after="100" w:afterAutospacing="1"/>
    </w:pPr>
    <w:rPr>
      <w:lang w:eastAsia="lv-LV"/>
    </w:rPr>
  </w:style>
  <w:style w:type="paragraph" w:customStyle="1" w:styleId="xmsolistparagraph">
    <w:name w:val="x_msolistparagraph"/>
    <w:basedOn w:val="Normal"/>
    <w:rsid w:val="00343908"/>
    <w:pPr>
      <w:spacing w:before="100" w:beforeAutospacing="1" w:after="100" w:afterAutospacing="1"/>
    </w:pPr>
    <w:rPr>
      <w:lang w:eastAsia="lv-LV"/>
    </w:rPr>
  </w:style>
  <w:style w:type="paragraph" w:customStyle="1" w:styleId="xxmsolistparagraph">
    <w:name w:val="x_x_msolistparagraph"/>
    <w:basedOn w:val="Normal"/>
    <w:rsid w:val="006051AF"/>
    <w:pPr>
      <w:spacing w:before="100" w:beforeAutospacing="1" w:after="100" w:afterAutospacing="1"/>
    </w:pPr>
    <w:rPr>
      <w:lang w:eastAsia="lv-LV"/>
    </w:rPr>
  </w:style>
  <w:style w:type="character" w:customStyle="1" w:styleId="xdtextbox1">
    <w:name w:val="xdtextbox1"/>
    <w:basedOn w:val="DefaultParagraphFont"/>
    <w:rsid w:val="00E516B6"/>
    <w:rPr>
      <w:color w:val="auto"/>
      <w:bdr w:val="single" w:sz="8" w:space="1" w:color="DCDCDC" w:frame="1"/>
      <w:shd w:val="clear" w:color="auto" w:fill="FFFFFF"/>
    </w:rPr>
  </w:style>
  <w:style w:type="paragraph" w:styleId="HTMLPreformatted">
    <w:name w:val="HTML Preformatted"/>
    <w:basedOn w:val="Normal"/>
    <w:link w:val="HTMLPreformattedChar"/>
    <w:uiPriority w:val="99"/>
    <w:semiHidden/>
    <w:unhideWhenUsed/>
    <w:rsid w:val="0069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969CA"/>
    <w:rPr>
      <w:rFonts w:ascii="Courier New" w:hAnsi="Courier New" w:cs="Courier New"/>
      <w:lang w:val="en-US" w:eastAsia="en-US"/>
    </w:rPr>
  </w:style>
  <w:style w:type="character" w:styleId="UnresolvedMention">
    <w:name w:val="Unresolved Mention"/>
    <w:basedOn w:val="DefaultParagraphFont"/>
    <w:uiPriority w:val="99"/>
    <w:semiHidden/>
    <w:unhideWhenUsed/>
    <w:rsid w:val="00214555"/>
    <w:rPr>
      <w:color w:val="808080"/>
      <w:shd w:val="clear" w:color="auto" w:fill="E6E6E6"/>
    </w:rPr>
  </w:style>
  <w:style w:type="character" w:customStyle="1" w:styleId="xmsofootnotereference">
    <w:name w:val="x_msofootnotereference"/>
    <w:basedOn w:val="DefaultParagraphFont"/>
    <w:rsid w:val="001D0959"/>
  </w:style>
  <w:style w:type="paragraph" w:customStyle="1" w:styleId="xmsonormal">
    <w:name w:val="x_msonormal"/>
    <w:basedOn w:val="Normal"/>
    <w:rsid w:val="006A41B8"/>
    <w:pPr>
      <w:spacing w:before="100" w:beforeAutospacing="1" w:after="100" w:afterAutospacing="1"/>
    </w:pPr>
    <w:rPr>
      <w:lang w:eastAsia="lv-LV"/>
    </w:rPr>
  </w:style>
  <w:style w:type="character" w:styleId="SubtleEmphasis">
    <w:name w:val="Subtle Emphasis"/>
    <w:basedOn w:val="DefaultParagraphFont"/>
    <w:uiPriority w:val="19"/>
    <w:qFormat/>
    <w:rsid w:val="00C73118"/>
    <w:rPr>
      <w:i/>
      <w:iCs/>
      <w:color w:val="404040" w:themeColor="text1" w:themeTint="BF"/>
    </w:rPr>
  </w:style>
  <w:style w:type="character" w:styleId="Emphasis">
    <w:name w:val="Emphasis"/>
    <w:basedOn w:val="DefaultParagraphFont"/>
    <w:uiPriority w:val="20"/>
    <w:qFormat/>
    <w:rsid w:val="00500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460">
      <w:bodyDiv w:val="1"/>
      <w:marLeft w:val="0"/>
      <w:marRight w:val="0"/>
      <w:marTop w:val="0"/>
      <w:marBottom w:val="0"/>
      <w:divBdr>
        <w:top w:val="none" w:sz="0" w:space="0" w:color="auto"/>
        <w:left w:val="none" w:sz="0" w:space="0" w:color="auto"/>
        <w:bottom w:val="none" w:sz="0" w:space="0" w:color="auto"/>
        <w:right w:val="none" w:sz="0" w:space="0" w:color="auto"/>
      </w:divBdr>
    </w:div>
    <w:div w:id="19472414">
      <w:bodyDiv w:val="1"/>
      <w:marLeft w:val="0"/>
      <w:marRight w:val="0"/>
      <w:marTop w:val="0"/>
      <w:marBottom w:val="0"/>
      <w:divBdr>
        <w:top w:val="none" w:sz="0" w:space="0" w:color="auto"/>
        <w:left w:val="none" w:sz="0" w:space="0" w:color="auto"/>
        <w:bottom w:val="none" w:sz="0" w:space="0" w:color="auto"/>
        <w:right w:val="none" w:sz="0" w:space="0" w:color="auto"/>
      </w:divBdr>
    </w:div>
    <w:div w:id="105083029">
      <w:bodyDiv w:val="1"/>
      <w:marLeft w:val="0"/>
      <w:marRight w:val="0"/>
      <w:marTop w:val="0"/>
      <w:marBottom w:val="0"/>
      <w:divBdr>
        <w:top w:val="none" w:sz="0" w:space="0" w:color="auto"/>
        <w:left w:val="none" w:sz="0" w:space="0" w:color="auto"/>
        <w:bottom w:val="none" w:sz="0" w:space="0" w:color="auto"/>
        <w:right w:val="none" w:sz="0" w:space="0" w:color="auto"/>
      </w:divBdr>
    </w:div>
    <w:div w:id="114299016">
      <w:bodyDiv w:val="1"/>
      <w:marLeft w:val="0"/>
      <w:marRight w:val="0"/>
      <w:marTop w:val="0"/>
      <w:marBottom w:val="0"/>
      <w:divBdr>
        <w:top w:val="none" w:sz="0" w:space="0" w:color="auto"/>
        <w:left w:val="none" w:sz="0" w:space="0" w:color="auto"/>
        <w:bottom w:val="none" w:sz="0" w:space="0" w:color="auto"/>
        <w:right w:val="none" w:sz="0" w:space="0" w:color="auto"/>
      </w:divBdr>
    </w:div>
    <w:div w:id="126515532">
      <w:bodyDiv w:val="1"/>
      <w:marLeft w:val="0"/>
      <w:marRight w:val="0"/>
      <w:marTop w:val="0"/>
      <w:marBottom w:val="0"/>
      <w:divBdr>
        <w:top w:val="none" w:sz="0" w:space="0" w:color="auto"/>
        <w:left w:val="none" w:sz="0" w:space="0" w:color="auto"/>
        <w:bottom w:val="none" w:sz="0" w:space="0" w:color="auto"/>
        <w:right w:val="none" w:sz="0" w:space="0" w:color="auto"/>
      </w:divBdr>
    </w:div>
    <w:div w:id="186676203">
      <w:bodyDiv w:val="1"/>
      <w:marLeft w:val="0"/>
      <w:marRight w:val="0"/>
      <w:marTop w:val="0"/>
      <w:marBottom w:val="0"/>
      <w:divBdr>
        <w:top w:val="none" w:sz="0" w:space="0" w:color="auto"/>
        <w:left w:val="none" w:sz="0" w:space="0" w:color="auto"/>
        <w:bottom w:val="none" w:sz="0" w:space="0" w:color="auto"/>
        <w:right w:val="none" w:sz="0" w:space="0" w:color="auto"/>
      </w:divBdr>
    </w:div>
    <w:div w:id="239482979">
      <w:bodyDiv w:val="1"/>
      <w:marLeft w:val="0"/>
      <w:marRight w:val="0"/>
      <w:marTop w:val="0"/>
      <w:marBottom w:val="0"/>
      <w:divBdr>
        <w:top w:val="none" w:sz="0" w:space="0" w:color="auto"/>
        <w:left w:val="none" w:sz="0" w:space="0" w:color="auto"/>
        <w:bottom w:val="none" w:sz="0" w:space="0" w:color="auto"/>
        <w:right w:val="none" w:sz="0" w:space="0" w:color="auto"/>
      </w:divBdr>
    </w:div>
    <w:div w:id="250093292">
      <w:bodyDiv w:val="1"/>
      <w:marLeft w:val="0"/>
      <w:marRight w:val="0"/>
      <w:marTop w:val="0"/>
      <w:marBottom w:val="0"/>
      <w:divBdr>
        <w:top w:val="none" w:sz="0" w:space="0" w:color="auto"/>
        <w:left w:val="none" w:sz="0" w:space="0" w:color="auto"/>
        <w:bottom w:val="none" w:sz="0" w:space="0" w:color="auto"/>
        <w:right w:val="none" w:sz="0" w:space="0" w:color="auto"/>
      </w:divBdr>
    </w:div>
    <w:div w:id="255402432">
      <w:bodyDiv w:val="1"/>
      <w:marLeft w:val="0"/>
      <w:marRight w:val="0"/>
      <w:marTop w:val="0"/>
      <w:marBottom w:val="0"/>
      <w:divBdr>
        <w:top w:val="none" w:sz="0" w:space="0" w:color="auto"/>
        <w:left w:val="none" w:sz="0" w:space="0" w:color="auto"/>
        <w:bottom w:val="none" w:sz="0" w:space="0" w:color="auto"/>
        <w:right w:val="none" w:sz="0" w:space="0" w:color="auto"/>
      </w:divBdr>
    </w:div>
    <w:div w:id="267927885">
      <w:bodyDiv w:val="1"/>
      <w:marLeft w:val="0"/>
      <w:marRight w:val="0"/>
      <w:marTop w:val="0"/>
      <w:marBottom w:val="0"/>
      <w:divBdr>
        <w:top w:val="none" w:sz="0" w:space="0" w:color="auto"/>
        <w:left w:val="none" w:sz="0" w:space="0" w:color="auto"/>
        <w:bottom w:val="none" w:sz="0" w:space="0" w:color="auto"/>
        <w:right w:val="none" w:sz="0" w:space="0" w:color="auto"/>
      </w:divBdr>
    </w:div>
    <w:div w:id="275212261">
      <w:bodyDiv w:val="1"/>
      <w:marLeft w:val="0"/>
      <w:marRight w:val="0"/>
      <w:marTop w:val="0"/>
      <w:marBottom w:val="0"/>
      <w:divBdr>
        <w:top w:val="none" w:sz="0" w:space="0" w:color="auto"/>
        <w:left w:val="none" w:sz="0" w:space="0" w:color="auto"/>
        <w:bottom w:val="none" w:sz="0" w:space="0" w:color="auto"/>
        <w:right w:val="none" w:sz="0" w:space="0" w:color="auto"/>
      </w:divBdr>
    </w:div>
    <w:div w:id="295336396">
      <w:bodyDiv w:val="1"/>
      <w:marLeft w:val="0"/>
      <w:marRight w:val="0"/>
      <w:marTop w:val="0"/>
      <w:marBottom w:val="0"/>
      <w:divBdr>
        <w:top w:val="none" w:sz="0" w:space="0" w:color="auto"/>
        <w:left w:val="none" w:sz="0" w:space="0" w:color="auto"/>
        <w:bottom w:val="none" w:sz="0" w:space="0" w:color="auto"/>
        <w:right w:val="none" w:sz="0" w:space="0" w:color="auto"/>
      </w:divBdr>
    </w:div>
    <w:div w:id="324091336">
      <w:bodyDiv w:val="1"/>
      <w:marLeft w:val="0"/>
      <w:marRight w:val="0"/>
      <w:marTop w:val="0"/>
      <w:marBottom w:val="0"/>
      <w:divBdr>
        <w:top w:val="none" w:sz="0" w:space="0" w:color="auto"/>
        <w:left w:val="none" w:sz="0" w:space="0" w:color="auto"/>
        <w:bottom w:val="none" w:sz="0" w:space="0" w:color="auto"/>
        <w:right w:val="none" w:sz="0" w:space="0" w:color="auto"/>
      </w:divBdr>
    </w:div>
    <w:div w:id="327446161">
      <w:bodyDiv w:val="1"/>
      <w:marLeft w:val="0"/>
      <w:marRight w:val="0"/>
      <w:marTop w:val="0"/>
      <w:marBottom w:val="0"/>
      <w:divBdr>
        <w:top w:val="none" w:sz="0" w:space="0" w:color="auto"/>
        <w:left w:val="none" w:sz="0" w:space="0" w:color="auto"/>
        <w:bottom w:val="none" w:sz="0" w:space="0" w:color="auto"/>
        <w:right w:val="none" w:sz="0" w:space="0" w:color="auto"/>
      </w:divBdr>
    </w:div>
    <w:div w:id="365064131">
      <w:bodyDiv w:val="1"/>
      <w:marLeft w:val="0"/>
      <w:marRight w:val="0"/>
      <w:marTop w:val="0"/>
      <w:marBottom w:val="0"/>
      <w:divBdr>
        <w:top w:val="none" w:sz="0" w:space="0" w:color="auto"/>
        <w:left w:val="none" w:sz="0" w:space="0" w:color="auto"/>
        <w:bottom w:val="none" w:sz="0" w:space="0" w:color="auto"/>
        <w:right w:val="none" w:sz="0" w:space="0" w:color="auto"/>
      </w:divBdr>
    </w:div>
    <w:div w:id="421226618">
      <w:bodyDiv w:val="1"/>
      <w:marLeft w:val="0"/>
      <w:marRight w:val="0"/>
      <w:marTop w:val="0"/>
      <w:marBottom w:val="0"/>
      <w:divBdr>
        <w:top w:val="none" w:sz="0" w:space="0" w:color="auto"/>
        <w:left w:val="none" w:sz="0" w:space="0" w:color="auto"/>
        <w:bottom w:val="none" w:sz="0" w:space="0" w:color="auto"/>
        <w:right w:val="none" w:sz="0" w:space="0" w:color="auto"/>
      </w:divBdr>
      <w:divsChild>
        <w:div w:id="335350526">
          <w:marLeft w:val="0"/>
          <w:marRight w:val="0"/>
          <w:marTop w:val="480"/>
          <w:marBottom w:val="240"/>
          <w:divBdr>
            <w:top w:val="none" w:sz="0" w:space="0" w:color="auto"/>
            <w:left w:val="none" w:sz="0" w:space="0" w:color="auto"/>
            <w:bottom w:val="none" w:sz="0" w:space="0" w:color="auto"/>
            <w:right w:val="none" w:sz="0" w:space="0" w:color="auto"/>
          </w:divBdr>
        </w:div>
        <w:div w:id="1083911542">
          <w:marLeft w:val="0"/>
          <w:marRight w:val="0"/>
          <w:marTop w:val="0"/>
          <w:marBottom w:val="567"/>
          <w:divBdr>
            <w:top w:val="none" w:sz="0" w:space="0" w:color="auto"/>
            <w:left w:val="none" w:sz="0" w:space="0" w:color="auto"/>
            <w:bottom w:val="none" w:sz="0" w:space="0" w:color="auto"/>
            <w:right w:val="none" w:sz="0" w:space="0" w:color="auto"/>
          </w:divBdr>
        </w:div>
      </w:divsChild>
    </w:div>
    <w:div w:id="436407791">
      <w:bodyDiv w:val="1"/>
      <w:marLeft w:val="0"/>
      <w:marRight w:val="0"/>
      <w:marTop w:val="0"/>
      <w:marBottom w:val="0"/>
      <w:divBdr>
        <w:top w:val="none" w:sz="0" w:space="0" w:color="auto"/>
        <w:left w:val="none" w:sz="0" w:space="0" w:color="auto"/>
        <w:bottom w:val="none" w:sz="0" w:space="0" w:color="auto"/>
        <w:right w:val="none" w:sz="0" w:space="0" w:color="auto"/>
      </w:divBdr>
    </w:div>
    <w:div w:id="442457023">
      <w:bodyDiv w:val="1"/>
      <w:marLeft w:val="0"/>
      <w:marRight w:val="0"/>
      <w:marTop w:val="0"/>
      <w:marBottom w:val="0"/>
      <w:divBdr>
        <w:top w:val="none" w:sz="0" w:space="0" w:color="auto"/>
        <w:left w:val="none" w:sz="0" w:space="0" w:color="auto"/>
        <w:bottom w:val="none" w:sz="0" w:space="0" w:color="auto"/>
        <w:right w:val="none" w:sz="0" w:space="0" w:color="auto"/>
      </w:divBdr>
    </w:div>
    <w:div w:id="51223046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7">
          <w:marLeft w:val="0"/>
          <w:marRight w:val="0"/>
          <w:marTop w:val="0"/>
          <w:marBottom w:val="0"/>
          <w:divBdr>
            <w:top w:val="none" w:sz="0" w:space="0" w:color="auto"/>
            <w:left w:val="none" w:sz="0" w:space="0" w:color="auto"/>
            <w:bottom w:val="none" w:sz="0" w:space="0" w:color="auto"/>
            <w:right w:val="none" w:sz="0" w:space="0" w:color="auto"/>
          </w:divBdr>
          <w:divsChild>
            <w:div w:id="717052269">
              <w:marLeft w:val="0"/>
              <w:marRight w:val="0"/>
              <w:marTop w:val="0"/>
              <w:marBottom w:val="0"/>
              <w:divBdr>
                <w:top w:val="none" w:sz="0" w:space="0" w:color="auto"/>
                <w:left w:val="none" w:sz="0" w:space="0" w:color="auto"/>
                <w:bottom w:val="none" w:sz="0" w:space="0" w:color="auto"/>
                <w:right w:val="none" w:sz="0" w:space="0" w:color="auto"/>
              </w:divBdr>
              <w:divsChild>
                <w:div w:id="1218466819">
                  <w:marLeft w:val="0"/>
                  <w:marRight w:val="0"/>
                  <w:marTop w:val="0"/>
                  <w:marBottom w:val="0"/>
                  <w:divBdr>
                    <w:top w:val="none" w:sz="0" w:space="0" w:color="auto"/>
                    <w:left w:val="none" w:sz="0" w:space="0" w:color="auto"/>
                    <w:bottom w:val="none" w:sz="0" w:space="0" w:color="auto"/>
                    <w:right w:val="none" w:sz="0" w:space="0" w:color="auto"/>
                  </w:divBdr>
                  <w:divsChild>
                    <w:div w:id="591745452">
                      <w:marLeft w:val="0"/>
                      <w:marRight w:val="0"/>
                      <w:marTop w:val="0"/>
                      <w:marBottom w:val="0"/>
                      <w:divBdr>
                        <w:top w:val="none" w:sz="0" w:space="0" w:color="auto"/>
                        <w:left w:val="none" w:sz="0" w:space="0" w:color="auto"/>
                        <w:bottom w:val="none" w:sz="0" w:space="0" w:color="auto"/>
                        <w:right w:val="none" w:sz="0" w:space="0" w:color="auto"/>
                      </w:divBdr>
                      <w:divsChild>
                        <w:div w:id="1439787987">
                          <w:marLeft w:val="0"/>
                          <w:marRight w:val="0"/>
                          <w:marTop w:val="300"/>
                          <w:marBottom w:val="0"/>
                          <w:divBdr>
                            <w:top w:val="none" w:sz="0" w:space="0" w:color="auto"/>
                            <w:left w:val="none" w:sz="0" w:space="0" w:color="auto"/>
                            <w:bottom w:val="none" w:sz="0" w:space="0" w:color="auto"/>
                            <w:right w:val="none" w:sz="0" w:space="0" w:color="auto"/>
                          </w:divBdr>
                          <w:divsChild>
                            <w:div w:id="13284367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372345">
      <w:bodyDiv w:val="1"/>
      <w:marLeft w:val="0"/>
      <w:marRight w:val="0"/>
      <w:marTop w:val="0"/>
      <w:marBottom w:val="0"/>
      <w:divBdr>
        <w:top w:val="none" w:sz="0" w:space="0" w:color="auto"/>
        <w:left w:val="none" w:sz="0" w:space="0" w:color="auto"/>
        <w:bottom w:val="none" w:sz="0" w:space="0" w:color="auto"/>
        <w:right w:val="none" w:sz="0" w:space="0" w:color="auto"/>
      </w:divBdr>
    </w:div>
    <w:div w:id="601425610">
      <w:bodyDiv w:val="1"/>
      <w:marLeft w:val="0"/>
      <w:marRight w:val="0"/>
      <w:marTop w:val="0"/>
      <w:marBottom w:val="0"/>
      <w:divBdr>
        <w:top w:val="none" w:sz="0" w:space="0" w:color="auto"/>
        <w:left w:val="none" w:sz="0" w:space="0" w:color="auto"/>
        <w:bottom w:val="none" w:sz="0" w:space="0" w:color="auto"/>
        <w:right w:val="none" w:sz="0" w:space="0" w:color="auto"/>
      </w:divBdr>
    </w:div>
    <w:div w:id="634795844">
      <w:bodyDiv w:val="1"/>
      <w:marLeft w:val="0"/>
      <w:marRight w:val="0"/>
      <w:marTop w:val="0"/>
      <w:marBottom w:val="0"/>
      <w:divBdr>
        <w:top w:val="none" w:sz="0" w:space="0" w:color="auto"/>
        <w:left w:val="none" w:sz="0" w:space="0" w:color="auto"/>
        <w:bottom w:val="none" w:sz="0" w:space="0" w:color="auto"/>
        <w:right w:val="none" w:sz="0" w:space="0" w:color="auto"/>
      </w:divBdr>
      <w:divsChild>
        <w:div w:id="359596967">
          <w:marLeft w:val="0"/>
          <w:marRight w:val="0"/>
          <w:marTop w:val="0"/>
          <w:marBottom w:val="0"/>
          <w:divBdr>
            <w:top w:val="none" w:sz="0" w:space="0" w:color="auto"/>
            <w:left w:val="none" w:sz="0" w:space="0" w:color="auto"/>
            <w:bottom w:val="none" w:sz="0" w:space="0" w:color="auto"/>
            <w:right w:val="none" w:sz="0" w:space="0" w:color="auto"/>
          </w:divBdr>
          <w:divsChild>
            <w:div w:id="1874340621">
              <w:marLeft w:val="0"/>
              <w:marRight w:val="0"/>
              <w:marTop w:val="0"/>
              <w:marBottom w:val="0"/>
              <w:divBdr>
                <w:top w:val="none" w:sz="0" w:space="0" w:color="auto"/>
                <w:left w:val="none" w:sz="0" w:space="0" w:color="auto"/>
                <w:bottom w:val="none" w:sz="0" w:space="0" w:color="auto"/>
                <w:right w:val="none" w:sz="0" w:space="0" w:color="auto"/>
              </w:divBdr>
              <w:divsChild>
                <w:div w:id="373627472">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0"/>
                      <w:marTop w:val="0"/>
                      <w:marBottom w:val="0"/>
                      <w:divBdr>
                        <w:top w:val="none" w:sz="0" w:space="0" w:color="auto"/>
                        <w:left w:val="none" w:sz="0" w:space="0" w:color="auto"/>
                        <w:bottom w:val="none" w:sz="0" w:space="0" w:color="auto"/>
                        <w:right w:val="none" w:sz="0" w:space="0" w:color="auto"/>
                      </w:divBdr>
                      <w:divsChild>
                        <w:div w:id="1402020849">
                          <w:marLeft w:val="0"/>
                          <w:marRight w:val="0"/>
                          <w:marTop w:val="300"/>
                          <w:marBottom w:val="0"/>
                          <w:divBdr>
                            <w:top w:val="none" w:sz="0" w:space="0" w:color="auto"/>
                            <w:left w:val="none" w:sz="0" w:space="0" w:color="auto"/>
                            <w:bottom w:val="none" w:sz="0" w:space="0" w:color="auto"/>
                            <w:right w:val="none" w:sz="0" w:space="0" w:color="auto"/>
                          </w:divBdr>
                          <w:divsChild>
                            <w:div w:id="1502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069181">
      <w:bodyDiv w:val="1"/>
      <w:marLeft w:val="0"/>
      <w:marRight w:val="0"/>
      <w:marTop w:val="0"/>
      <w:marBottom w:val="0"/>
      <w:divBdr>
        <w:top w:val="none" w:sz="0" w:space="0" w:color="auto"/>
        <w:left w:val="none" w:sz="0" w:space="0" w:color="auto"/>
        <w:bottom w:val="none" w:sz="0" w:space="0" w:color="auto"/>
        <w:right w:val="none" w:sz="0" w:space="0" w:color="auto"/>
      </w:divBdr>
    </w:div>
    <w:div w:id="656306305">
      <w:bodyDiv w:val="1"/>
      <w:marLeft w:val="0"/>
      <w:marRight w:val="0"/>
      <w:marTop w:val="0"/>
      <w:marBottom w:val="0"/>
      <w:divBdr>
        <w:top w:val="none" w:sz="0" w:space="0" w:color="auto"/>
        <w:left w:val="none" w:sz="0" w:space="0" w:color="auto"/>
        <w:bottom w:val="none" w:sz="0" w:space="0" w:color="auto"/>
        <w:right w:val="none" w:sz="0" w:space="0" w:color="auto"/>
      </w:divBdr>
    </w:div>
    <w:div w:id="682902460">
      <w:bodyDiv w:val="1"/>
      <w:marLeft w:val="45"/>
      <w:marRight w:val="45"/>
      <w:marTop w:val="90"/>
      <w:marBottom w:val="90"/>
      <w:divBdr>
        <w:top w:val="none" w:sz="0" w:space="0" w:color="auto"/>
        <w:left w:val="none" w:sz="0" w:space="0" w:color="auto"/>
        <w:bottom w:val="none" w:sz="0" w:space="0" w:color="auto"/>
        <w:right w:val="none" w:sz="0" w:space="0" w:color="auto"/>
      </w:divBdr>
      <w:divsChild>
        <w:div w:id="1737974805">
          <w:marLeft w:val="0"/>
          <w:marRight w:val="0"/>
          <w:marTop w:val="0"/>
          <w:marBottom w:val="567"/>
          <w:divBdr>
            <w:top w:val="none" w:sz="0" w:space="0" w:color="auto"/>
            <w:left w:val="none" w:sz="0" w:space="0" w:color="auto"/>
            <w:bottom w:val="none" w:sz="0" w:space="0" w:color="auto"/>
            <w:right w:val="none" w:sz="0" w:space="0" w:color="auto"/>
          </w:divBdr>
        </w:div>
      </w:divsChild>
    </w:div>
    <w:div w:id="700738634">
      <w:bodyDiv w:val="1"/>
      <w:marLeft w:val="0"/>
      <w:marRight w:val="0"/>
      <w:marTop w:val="0"/>
      <w:marBottom w:val="0"/>
      <w:divBdr>
        <w:top w:val="none" w:sz="0" w:space="0" w:color="auto"/>
        <w:left w:val="none" w:sz="0" w:space="0" w:color="auto"/>
        <w:bottom w:val="none" w:sz="0" w:space="0" w:color="auto"/>
        <w:right w:val="none" w:sz="0" w:space="0" w:color="auto"/>
      </w:divBdr>
    </w:div>
    <w:div w:id="741290964">
      <w:bodyDiv w:val="1"/>
      <w:marLeft w:val="0"/>
      <w:marRight w:val="0"/>
      <w:marTop w:val="0"/>
      <w:marBottom w:val="0"/>
      <w:divBdr>
        <w:top w:val="none" w:sz="0" w:space="0" w:color="auto"/>
        <w:left w:val="none" w:sz="0" w:space="0" w:color="auto"/>
        <w:bottom w:val="none" w:sz="0" w:space="0" w:color="auto"/>
        <w:right w:val="none" w:sz="0" w:space="0" w:color="auto"/>
      </w:divBdr>
    </w:div>
    <w:div w:id="757294488">
      <w:bodyDiv w:val="1"/>
      <w:marLeft w:val="0"/>
      <w:marRight w:val="0"/>
      <w:marTop w:val="0"/>
      <w:marBottom w:val="0"/>
      <w:divBdr>
        <w:top w:val="none" w:sz="0" w:space="0" w:color="auto"/>
        <w:left w:val="none" w:sz="0" w:space="0" w:color="auto"/>
        <w:bottom w:val="none" w:sz="0" w:space="0" w:color="auto"/>
        <w:right w:val="none" w:sz="0" w:space="0" w:color="auto"/>
      </w:divBdr>
    </w:div>
    <w:div w:id="759764108">
      <w:bodyDiv w:val="1"/>
      <w:marLeft w:val="0"/>
      <w:marRight w:val="0"/>
      <w:marTop w:val="0"/>
      <w:marBottom w:val="0"/>
      <w:divBdr>
        <w:top w:val="none" w:sz="0" w:space="0" w:color="auto"/>
        <w:left w:val="none" w:sz="0" w:space="0" w:color="auto"/>
        <w:bottom w:val="none" w:sz="0" w:space="0" w:color="auto"/>
        <w:right w:val="none" w:sz="0" w:space="0" w:color="auto"/>
      </w:divBdr>
    </w:div>
    <w:div w:id="814105452">
      <w:bodyDiv w:val="1"/>
      <w:marLeft w:val="0"/>
      <w:marRight w:val="0"/>
      <w:marTop w:val="0"/>
      <w:marBottom w:val="0"/>
      <w:divBdr>
        <w:top w:val="none" w:sz="0" w:space="0" w:color="auto"/>
        <w:left w:val="none" w:sz="0" w:space="0" w:color="auto"/>
        <w:bottom w:val="none" w:sz="0" w:space="0" w:color="auto"/>
        <w:right w:val="none" w:sz="0" w:space="0" w:color="auto"/>
      </w:divBdr>
    </w:div>
    <w:div w:id="823198553">
      <w:bodyDiv w:val="1"/>
      <w:marLeft w:val="0"/>
      <w:marRight w:val="0"/>
      <w:marTop w:val="0"/>
      <w:marBottom w:val="0"/>
      <w:divBdr>
        <w:top w:val="none" w:sz="0" w:space="0" w:color="auto"/>
        <w:left w:val="none" w:sz="0" w:space="0" w:color="auto"/>
        <w:bottom w:val="none" w:sz="0" w:space="0" w:color="auto"/>
        <w:right w:val="none" w:sz="0" w:space="0" w:color="auto"/>
      </w:divBdr>
      <w:divsChild>
        <w:div w:id="1094324162">
          <w:marLeft w:val="0"/>
          <w:marRight w:val="0"/>
          <w:marTop w:val="0"/>
          <w:marBottom w:val="0"/>
          <w:divBdr>
            <w:top w:val="none" w:sz="0" w:space="0" w:color="auto"/>
            <w:left w:val="none" w:sz="0" w:space="0" w:color="auto"/>
            <w:bottom w:val="none" w:sz="0" w:space="0" w:color="auto"/>
            <w:right w:val="none" w:sz="0" w:space="0" w:color="auto"/>
          </w:divBdr>
        </w:div>
        <w:div w:id="152137731">
          <w:marLeft w:val="0"/>
          <w:marRight w:val="0"/>
          <w:marTop w:val="0"/>
          <w:marBottom w:val="0"/>
          <w:divBdr>
            <w:top w:val="none" w:sz="0" w:space="0" w:color="auto"/>
            <w:left w:val="none" w:sz="0" w:space="0" w:color="auto"/>
            <w:bottom w:val="none" w:sz="0" w:space="0" w:color="auto"/>
            <w:right w:val="none" w:sz="0" w:space="0" w:color="auto"/>
          </w:divBdr>
        </w:div>
        <w:div w:id="1457869049">
          <w:marLeft w:val="0"/>
          <w:marRight w:val="0"/>
          <w:marTop w:val="0"/>
          <w:marBottom w:val="0"/>
          <w:divBdr>
            <w:top w:val="none" w:sz="0" w:space="0" w:color="auto"/>
            <w:left w:val="none" w:sz="0" w:space="0" w:color="auto"/>
            <w:bottom w:val="none" w:sz="0" w:space="0" w:color="auto"/>
            <w:right w:val="none" w:sz="0" w:space="0" w:color="auto"/>
          </w:divBdr>
        </w:div>
        <w:div w:id="1984307420">
          <w:marLeft w:val="0"/>
          <w:marRight w:val="0"/>
          <w:marTop w:val="0"/>
          <w:marBottom w:val="0"/>
          <w:divBdr>
            <w:top w:val="none" w:sz="0" w:space="0" w:color="auto"/>
            <w:left w:val="none" w:sz="0" w:space="0" w:color="auto"/>
            <w:bottom w:val="none" w:sz="0" w:space="0" w:color="auto"/>
            <w:right w:val="none" w:sz="0" w:space="0" w:color="auto"/>
          </w:divBdr>
        </w:div>
        <w:div w:id="639505113">
          <w:marLeft w:val="0"/>
          <w:marRight w:val="0"/>
          <w:marTop w:val="0"/>
          <w:marBottom w:val="0"/>
          <w:divBdr>
            <w:top w:val="none" w:sz="0" w:space="0" w:color="auto"/>
            <w:left w:val="none" w:sz="0" w:space="0" w:color="auto"/>
            <w:bottom w:val="none" w:sz="0" w:space="0" w:color="auto"/>
            <w:right w:val="none" w:sz="0" w:space="0" w:color="auto"/>
          </w:divBdr>
        </w:div>
        <w:div w:id="498929609">
          <w:marLeft w:val="0"/>
          <w:marRight w:val="0"/>
          <w:marTop w:val="0"/>
          <w:marBottom w:val="0"/>
          <w:divBdr>
            <w:top w:val="none" w:sz="0" w:space="0" w:color="auto"/>
            <w:left w:val="none" w:sz="0" w:space="0" w:color="auto"/>
            <w:bottom w:val="none" w:sz="0" w:space="0" w:color="auto"/>
            <w:right w:val="none" w:sz="0" w:space="0" w:color="auto"/>
          </w:divBdr>
        </w:div>
      </w:divsChild>
    </w:div>
    <w:div w:id="828518551">
      <w:bodyDiv w:val="1"/>
      <w:marLeft w:val="0"/>
      <w:marRight w:val="0"/>
      <w:marTop w:val="0"/>
      <w:marBottom w:val="0"/>
      <w:divBdr>
        <w:top w:val="none" w:sz="0" w:space="0" w:color="auto"/>
        <w:left w:val="none" w:sz="0" w:space="0" w:color="auto"/>
        <w:bottom w:val="none" w:sz="0" w:space="0" w:color="auto"/>
        <w:right w:val="none" w:sz="0" w:space="0" w:color="auto"/>
      </w:divBdr>
    </w:div>
    <w:div w:id="852459427">
      <w:bodyDiv w:val="1"/>
      <w:marLeft w:val="0"/>
      <w:marRight w:val="0"/>
      <w:marTop w:val="0"/>
      <w:marBottom w:val="0"/>
      <w:divBdr>
        <w:top w:val="none" w:sz="0" w:space="0" w:color="auto"/>
        <w:left w:val="none" w:sz="0" w:space="0" w:color="auto"/>
        <w:bottom w:val="none" w:sz="0" w:space="0" w:color="auto"/>
        <w:right w:val="none" w:sz="0" w:space="0" w:color="auto"/>
      </w:divBdr>
    </w:div>
    <w:div w:id="894318463">
      <w:bodyDiv w:val="1"/>
      <w:marLeft w:val="0"/>
      <w:marRight w:val="0"/>
      <w:marTop w:val="0"/>
      <w:marBottom w:val="0"/>
      <w:divBdr>
        <w:top w:val="none" w:sz="0" w:space="0" w:color="auto"/>
        <w:left w:val="none" w:sz="0" w:space="0" w:color="auto"/>
        <w:bottom w:val="none" w:sz="0" w:space="0" w:color="auto"/>
        <w:right w:val="none" w:sz="0" w:space="0" w:color="auto"/>
      </w:divBdr>
    </w:div>
    <w:div w:id="927617241">
      <w:bodyDiv w:val="1"/>
      <w:marLeft w:val="0"/>
      <w:marRight w:val="0"/>
      <w:marTop w:val="0"/>
      <w:marBottom w:val="0"/>
      <w:divBdr>
        <w:top w:val="none" w:sz="0" w:space="0" w:color="auto"/>
        <w:left w:val="none" w:sz="0" w:space="0" w:color="auto"/>
        <w:bottom w:val="none" w:sz="0" w:space="0" w:color="auto"/>
        <w:right w:val="none" w:sz="0" w:space="0" w:color="auto"/>
      </w:divBdr>
    </w:div>
    <w:div w:id="934560793">
      <w:bodyDiv w:val="1"/>
      <w:marLeft w:val="0"/>
      <w:marRight w:val="0"/>
      <w:marTop w:val="0"/>
      <w:marBottom w:val="0"/>
      <w:divBdr>
        <w:top w:val="none" w:sz="0" w:space="0" w:color="auto"/>
        <w:left w:val="none" w:sz="0" w:space="0" w:color="auto"/>
        <w:bottom w:val="none" w:sz="0" w:space="0" w:color="auto"/>
        <w:right w:val="none" w:sz="0" w:space="0" w:color="auto"/>
      </w:divBdr>
    </w:div>
    <w:div w:id="974023890">
      <w:bodyDiv w:val="1"/>
      <w:marLeft w:val="0"/>
      <w:marRight w:val="0"/>
      <w:marTop w:val="0"/>
      <w:marBottom w:val="0"/>
      <w:divBdr>
        <w:top w:val="none" w:sz="0" w:space="0" w:color="auto"/>
        <w:left w:val="none" w:sz="0" w:space="0" w:color="auto"/>
        <w:bottom w:val="none" w:sz="0" w:space="0" w:color="auto"/>
        <w:right w:val="none" w:sz="0" w:space="0" w:color="auto"/>
      </w:divBdr>
    </w:div>
    <w:div w:id="1010372884">
      <w:marLeft w:val="0"/>
      <w:marRight w:val="0"/>
      <w:marTop w:val="0"/>
      <w:marBottom w:val="0"/>
      <w:divBdr>
        <w:top w:val="none" w:sz="0" w:space="0" w:color="auto"/>
        <w:left w:val="none" w:sz="0" w:space="0" w:color="auto"/>
        <w:bottom w:val="none" w:sz="0" w:space="0" w:color="auto"/>
        <w:right w:val="none" w:sz="0" w:space="0" w:color="auto"/>
      </w:divBdr>
      <w:divsChild>
        <w:div w:id="1010372878">
          <w:marLeft w:val="0"/>
          <w:marRight w:val="0"/>
          <w:marTop w:val="0"/>
          <w:marBottom w:val="0"/>
          <w:divBdr>
            <w:top w:val="none" w:sz="0" w:space="0" w:color="auto"/>
            <w:left w:val="none" w:sz="0" w:space="0" w:color="auto"/>
            <w:bottom w:val="none" w:sz="0" w:space="0" w:color="auto"/>
            <w:right w:val="none" w:sz="0" w:space="0" w:color="auto"/>
          </w:divBdr>
        </w:div>
        <w:div w:id="1010372881">
          <w:marLeft w:val="0"/>
          <w:marRight w:val="0"/>
          <w:marTop w:val="0"/>
          <w:marBottom w:val="0"/>
          <w:divBdr>
            <w:top w:val="none" w:sz="0" w:space="0" w:color="auto"/>
            <w:left w:val="none" w:sz="0" w:space="0" w:color="auto"/>
            <w:bottom w:val="none" w:sz="0" w:space="0" w:color="auto"/>
            <w:right w:val="none" w:sz="0" w:space="0" w:color="auto"/>
          </w:divBdr>
        </w:div>
        <w:div w:id="1010372883">
          <w:marLeft w:val="0"/>
          <w:marRight w:val="0"/>
          <w:marTop w:val="0"/>
          <w:marBottom w:val="0"/>
          <w:divBdr>
            <w:top w:val="none" w:sz="0" w:space="0" w:color="auto"/>
            <w:left w:val="none" w:sz="0" w:space="0" w:color="auto"/>
            <w:bottom w:val="none" w:sz="0" w:space="0" w:color="auto"/>
            <w:right w:val="none" w:sz="0" w:space="0" w:color="auto"/>
          </w:divBdr>
        </w:div>
        <w:div w:id="1010372887">
          <w:marLeft w:val="0"/>
          <w:marRight w:val="0"/>
          <w:marTop w:val="0"/>
          <w:marBottom w:val="0"/>
          <w:divBdr>
            <w:top w:val="none" w:sz="0" w:space="0" w:color="auto"/>
            <w:left w:val="none" w:sz="0" w:space="0" w:color="auto"/>
            <w:bottom w:val="none" w:sz="0" w:space="0" w:color="auto"/>
            <w:right w:val="none" w:sz="0" w:space="0" w:color="auto"/>
          </w:divBdr>
        </w:div>
        <w:div w:id="1010372888">
          <w:marLeft w:val="0"/>
          <w:marRight w:val="0"/>
          <w:marTop w:val="0"/>
          <w:marBottom w:val="0"/>
          <w:divBdr>
            <w:top w:val="none" w:sz="0" w:space="0" w:color="auto"/>
            <w:left w:val="none" w:sz="0" w:space="0" w:color="auto"/>
            <w:bottom w:val="none" w:sz="0" w:space="0" w:color="auto"/>
            <w:right w:val="none" w:sz="0" w:space="0" w:color="auto"/>
          </w:divBdr>
        </w:div>
        <w:div w:id="1010372890">
          <w:marLeft w:val="0"/>
          <w:marRight w:val="0"/>
          <w:marTop w:val="0"/>
          <w:marBottom w:val="0"/>
          <w:divBdr>
            <w:top w:val="none" w:sz="0" w:space="0" w:color="auto"/>
            <w:left w:val="none" w:sz="0" w:space="0" w:color="auto"/>
            <w:bottom w:val="none" w:sz="0" w:space="0" w:color="auto"/>
            <w:right w:val="none" w:sz="0" w:space="0" w:color="auto"/>
          </w:divBdr>
        </w:div>
        <w:div w:id="1010372892">
          <w:marLeft w:val="0"/>
          <w:marRight w:val="0"/>
          <w:marTop w:val="0"/>
          <w:marBottom w:val="0"/>
          <w:divBdr>
            <w:top w:val="none" w:sz="0" w:space="0" w:color="auto"/>
            <w:left w:val="none" w:sz="0" w:space="0" w:color="auto"/>
            <w:bottom w:val="none" w:sz="0" w:space="0" w:color="auto"/>
            <w:right w:val="none" w:sz="0" w:space="0" w:color="auto"/>
          </w:divBdr>
        </w:div>
        <w:div w:id="1010372897">
          <w:marLeft w:val="0"/>
          <w:marRight w:val="0"/>
          <w:marTop w:val="0"/>
          <w:marBottom w:val="0"/>
          <w:divBdr>
            <w:top w:val="none" w:sz="0" w:space="0" w:color="auto"/>
            <w:left w:val="none" w:sz="0" w:space="0" w:color="auto"/>
            <w:bottom w:val="none" w:sz="0" w:space="0" w:color="auto"/>
            <w:right w:val="none" w:sz="0" w:space="0" w:color="auto"/>
          </w:divBdr>
        </w:div>
        <w:div w:id="1010372899">
          <w:marLeft w:val="0"/>
          <w:marRight w:val="0"/>
          <w:marTop w:val="0"/>
          <w:marBottom w:val="0"/>
          <w:divBdr>
            <w:top w:val="none" w:sz="0" w:space="0" w:color="auto"/>
            <w:left w:val="none" w:sz="0" w:space="0" w:color="auto"/>
            <w:bottom w:val="none" w:sz="0" w:space="0" w:color="auto"/>
            <w:right w:val="none" w:sz="0" w:space="0" w:color="auto"/>
          </w:divBdr>
        </w:div>
        <w:div w:id="1010372901">
          <w:marLeft w:val="0"/>
          <w:marRight w:val="0"/>
          <w:marTop w:val="0"/>
          <w:marBottom w:val="0"/>
          <w:divBdr>
            <w:top w:val="none" w:sz="0" w:space="0" w:color="auto"/>
            <w:left w:val="none" w:sz="0" w:space="0" w:color="auto"/>
            <w:bottom w:val="none" w:sz="0" w:space="0" w:color="auto"/>
            <w:right w:val="none" w:sz="0" w:space="0" w:color="auto"/>
          </w:divBdr>
        </w:div>
        <w:div w:id="1010372903">
          <w:marLeft w:val="0"/>
          <w:marRight w:val="0"/>
          <w:marTop w:val="0"/>
          <w:marBottom w:val="0"/>
          <w:divBdr>
            <w:top w:val="none" w:sz="0" w:space="0" w:color="auto"/>
            <w:left w:val="none" w:sz="0" w:space="0" w:color="auto"/>
            <w:bottom w:val="none" w:sz="0" w:space="0" w:color="auto"/>
            <w:right w:val="none" w:sz="0" w:space="0" w:color="auto"/>
          </w:divBdr>
        </w:div>
        <w:div w:id="1010372904">
          <w:marLeft w:val="0"/>
          <w:marRight w:val="0"/>
          <w:marTop w:val="0"/>
          <w:marBottom w:val="0"/>
          <w:divBdr>
            <w:top w:val="none" w:sz="0" w:space="0" w:color="auto"/>
            <w:left w:val="none" w:sz="0" w:space="0" w:color="auto"/>
            <w:bottom w:val="none" w:sz="0" w:space="0" w:color="auto"/>
            <w:right w:val="none" w:sz="0" w:space="0" w:color="auto"/>
          </w:divBdr>
        </w:div>
      </w:divsChild>
    </w:div>
    <w:div w:id="1010372889">
      <w:marLeft w:val="0"/>
      <w:marRight w:val="0"/>
      <w:marTop w:val="0"/>
      <w:marBottom w:val="0"/>
      <w:divBdr>
        <w:top w:val="none" w:sz="0" w:space="0" w:color="auto"/>
        <w:left w:val="none" w:sz="0" w:space="0" w:color="auto"/>
        <w:bottom w:val="none" w:sz="0" w:space="0" w:color="auto"/>
        <w:right w:val="none" w:sz="0" w:space="0" w:color="auto"/>
      </w:divBdr>
    </w:div>
    <w:div w:id="1010372896">
      <w:marLeft w:val="0"/>
      <w:marRight w:val="0"/>
      <w:marTop w:val="0"/>
      <w:marBottom w:val="0"/>
      <w:divBdr>
        <w:top w:val="none" w:sz="0" w:space="0" w:color="auto"/>
        <w:left w:val="none" w:sz="0" w:space="0" w:color="auto"/>
        <w:bottom w:val="none" w:sz="0" w:space="0" w:color="auto"/>
        <w:right w:val="none" w:sz="0" w:space="0" w:color="auto"/>
      </w:divBdr>
      <w:divsChild>
        <w:div w:id="1010372879">
          <w:marLeft w:val="0"/>
          <w:marRight w:val="0"/>
          <w:marTop w:val="0"/>
          <w:marBottom w:val="0"/>
          <w:divBdr>
            <w:top w:val="none" w:sz="0" w:space="0" w:color="auto"/>
            <w:left w:val="none" w:sz="0" w:space="0" w:color="auto"/>
            <w:bottom w:val="none" w:sz="0" w:space="0" w:color="auto"/>
            <w:right w:val="none" w:sz="0" w:space="0" w:color="auto"/>
          </w:divBdr>
        </w:div>
        <w:div w:id="1010372880">
          <w:marLeft w:val="0"/>
          <w:marRight w:val="0"/>
          <w:marTop w:val="0"/>
          <w:marBottom w:val="0"/>
          <w:divBdr>
            <w:top w:val="none" w:sz="0" w:space="0" w:color="auto"/>
            <w:left w:val="none" w:sz="0" w:space="0" w:color="auto"/>
            <w:bottom w:val="none" w:sz="0" w:space="0" w:color="auto"/>
            <w:right w:val="none" w:sz="0" w:space="0" w:color="auto"/>
          </w:divBdr>
        </w:div>
        <w:div w:id="1010372882">
          <w:marLeft w:val="0"/>
          <w:marRight w:val="0"/>
          <w:marTop w:val="0"/>
          <w:marBottom w:val="0"/>
          <w:divBdr>
            <w:top w:val="none" w:sz="0" w:space="0" w:color="auto"/>
            <w:left w:val="none" w:sz="0" w:space="0" w:color="auto"/>
            <w:bottom w:val="none" w:sz="0" w:space="0" w:color="auto"/>
            <w:right w:val="none" w:sz="0" w:space="0" w:color="auto"/>
          </w:divBdr>
        </w:div>
        <w:div w:id="1010372885">
          <w:marLeft w:val="0"/>
          <w:marRight w:val="0"/>
          <w:marTop w:val="0"/>
          <w:marBottom w:val="0"/>
          <w:divBdr>
            <w:top w:val="none" w:sz="0" w:space="0" w:color="auto"/>
            <w:left w:val="none" w:sz="0" w:space="0" w:color="auto"/>
            <w:bottom w:val="none" w:sz="0" w:space="0" w:color="auto"/>
            <w:right w:val="none" w:sz="0" w:space="0" w:color="auto"/>
          </w:divBdr>
        </w:div>
        <w:div w:id="1010372886">
          <w:marLeft w:val="0"/>
          <w:marRight w:val="0"/>
          <w:marTop w:val="0"/>
          <w:marBottom w:val="0"/>
          <w:divBdr>
            <w:top w:val="none" w:sz="0" w:space="0" w:color="auto"/>
            <w:left w:val="none" w:sz="0" w:space="0" w:color="auto"/>
            <w:bottom w:val="none" w:sz="0" w:space="0" w:color="auto"/>
            <w:right w:val="none" w:sz="0" w:space="0" w:color="auto"/>
          </w:divBdr>
        </w:div>
        <w:div w:id="1010372891">
          <w:marLeft w:val="0"/>
          <w:marRight w:val="0"/>
          <w:marTop w:val="0"/>
          <w:marBottom w:val="0"/>
          <w:divBdr>
            <w:top w:val="none" w:sz="0" w:space="0" w:color="auto"/>
            <w:left w:val="none" w:sz="0" w:space="0" w:color="auto"/>
            <w:bottom w:val="none" w:sz="0" w:space="0" w:color="auto"/>
            <w:right w:val="none" w:sz="0" w:space="0" w:color="auto"/>
          </w:divBdr>
        </w:div>
        <w:div w:id="1010372893">
          <w:marLeft w:val="0"/>
          <w:marRight w:val="0"/>
          <w:marTop w:val="0"/>
          <w:marBottom w:val="0"/>
          <w:divBdr>
            <w:top w:val="none" w:sz="0" w:space="0" w:color="auto"/>
            <w:left w:val="none" w:sz="0" w:space="0" w:color="auto"/>
            <w:bottom w:val="none" w:sz="0" w:space="0" w:color="auto"/>
            <w:right w:val="none" w:sz="0" w:space="0" w:color="auto"/>
          </w:divBdr>
        </w:div>
        <w:div w:id="1010372894">
          <w:marLeft w:val="0"/>
          <w:marRight w:val="0"/>
          <w:marTop w:val="0"/>
          <w:marBottom w:val="0"/>
          <w:divBdr>
            <w:top w:val="none" w:sz="0" w:space="0" w:color="auto"/>
            <w:left w:val="none" w:sz="0" w:space="0" w:color="auto"/>
            <w:bottom w:val="none" w:sz="0" w:space="0" w:color="auto"/>
            <w:right w:val="none" w:sz="0" w:space="0" w:color="auto"/>
          </w:divBdr>
        </w:div>
        <w:div w:id="1010372895">
          <w:marLeft w:val="0"/>
          <w:marRight w:val="0"/>
          <w:marTop w:val="0"/>
          <w:marBottom w:val="0"/>
          <w:divBdr>
            <w:top w:val="none" w:sz="0" w:space="0" w:color="auto"/>
            <w:left w:val="none" w:sz="0" w:space="0" w:color="auto"/>
            <w:bottom w:val="none" w:sz="0" w:space="0" w:color="auto"/>
            <w:right w:val="none" w:sz="0" w:space="0" w:color="auto"/>
          </w:divBdr>
        </w:div>
        <w:div w:id="1010372898">
          <w:marLeft w:val="0"/>
          <w:marRight w:val="0"/>
          <w:marTop w:val="0"/>
          <w:marBottom w:val="0"/>
          <w:divBdr>
            <w:top w:val="none" w:sz="0" w:space="0" w:color="auto"/>
            <w:left w:val="none" w:sz="0" w:space="0" w:color="auto"/>
            <w:bottom w:val="none" w:sz="0" w:space="0" w:color="auto"/>
            <w:right w:val="none" w:sz="0" w:space="0" w:color="auto"/>
          </w:divBdr>
        </w:div>
        <w:div w:id="1010372900">
          <w:marLeft w:val="0"/>
          <w:marRight w:val="0"/>
          <w:marTop w:val="0"/>
          <w:marBottom w:val="0"/>
          <w:divBdr>
            <w:top w:val="none" w:sz="0" w:space="0" w:color="auto"/>
            <w:left w:val="none" w:sz="0" w:space="0" w:color="auto"/>
            <w:bottom w:val="none" w:sz="0" w:space="0" w:color="auto"/>
            <w:right w:val="none" w:sz="0" w:space="0" w:color="auto"/>
          </w:divBdr>
        </w:div>
        <w:div w:id="1010372902">
          <w:marLeft w:val="0"/>
          <w:marRight w:val="0"/>
          <w:marTop w:val="0"/>
          <w:marBottom w:val="0"/>
          <w:divBdr>
            <w:top w:val="none" w:sz="0" w:space="0" w:color="auto"/>
            <w:left w:val="none" w:sz="0" w:space="0" w:color="auto"/>
            <w:bottom w:val="none" w:sz="0" w:space="0" w:color="auto"/>
            <w:right w:val="none" w:sz="0" w:space="0" w:color="auto"/>
          </w:divBdr>
        </w:div>
      </w:divsChild>
    </w:div>
    <w:div w:id="1035959409">
      <w:bodyDiv w:val="1"/>
      <w:marLeft w:val="0"/>
      <w:marRight w:val="0"/>
      <w:marTop w:val="0"/>
      <w:marBottom w:val="0"/>
      <w:divBdr>
        <w:top w:val="none" w:sz="0" w:space="0" w:color="auto"/>
        <w:left w:val="none" w:sz="0" w:space="0" w:color="auto"/>
        <w:bottom w:val="none" w:sz="0" w:space="0" w:color="auto"/>
        <w:right w:val="none" w:sz="0" w:space="0" w:color="auto"/>
      </w:divBdr>
    </w:div>
    <w:div w:id="1079912608">
      <w:bodyDiv w:val="1"/>
      <w:marLeft w:val="0"/>
      <w:marRight w:val="0"/>
      <w:marTop w:val="0"/>
      <w:marBottom w:val="0"/>
      <w:divBdr>
        <w:top w:val="none" w:sz="0" w:space="0" w:color="auto"/>
        <w:left w:val="none" w:sz="0" w:space="0" w:color="auto"/>
        <w:bottom w:val="none" w:sz="0" w:space="0" w:color="auto"/>
        <w:right w:val="none" w:sz="0" w:space="0" w:color="auto"/>
      </w:divBdr>
    </w:div>
    <w:div w:id="1169520746">
      <w:bodyDiv w:val="1"/>
      <w:marLeft w:val="0"/>
      <w:marRight w:val="0"/>
      <w:marTop w:val="0"/>
      <w:marBottom w:val="0"/>
      <w:divBdr>
        <w:top w:val="none" w:sz="0" w:space="0" w:color="auto"/>
        <w:left w:val="none" w:sz="0" w:space="0" w:color="auto"/>
        <w:bottom w:val="none" w:sz="0" w:space="0" w:color="auto"/>
        <w:right w:val="none" w:sz="0" w:space="0" w:color="auto"/>
      </w:divBdr>
    </w:div>
    <w:div w:id="1186821938">
      <w:bodyDiv w:val="1"/>
      <w:marLeft w:val="0"/>
      <w:marRight w:val="0"/>
      <w:marTop w:val="0"/>
      <w:marBottom w:val="0"/>
      <w:divBdr>
        <w:top w:val="none" w:sz="0" w:space="0" w:color="auto"/>
        <w:left w:val="none" w:sz="0" w:space="0" w:color="auto"/>
        <w:bottom w:val="none" w:sz="0" w:space="0" w:color="auto"/>
        <w:right w:val="none" w:sz="0" w:space="0" w:color="auto"/>
      </w:divBdr>
    </w:div>
    <w:div w:id="1198544770">
      <w:bodyDiv w:val="1"/>
      <w:marLeft w:val="0"/>
      <w:marRight w:val="0"/>
      <w:marTop w:val="0"/>
      <w:marBottom w:val="0"/>
      <w:divBdr>
        <w:top w:val="none" w:sz="0" w:space="0" w:color="auto"/>
        <w:left w:val="none" w:sz="0" w:space="0" w:color="auto"/>
        <w:bottom w:val="none" w:sz="0" w:space="0" w:color="auto"/>
        <w:right w:val="none" w:sz="0" w:space="0" w:color="auto"/>
      </w:divBdr>
    </w:div>
    <w:div w:id="1244025728">
      <w:bodyDiv w:val="1"/>
      <w:marLeft w:val="0"/>
      <w:marRight w:val="0"/>
      <w:marTop w:val="0"/>
      <w:marBottom w:val="0"/>
      <w:divBdr>
        <w:top w:val="none" w:sz="0" w:space="0" w:color="auto"/>
        <w:left w:val="none" w:sz="0" w:space="0" w:color="auto"/>
        <w:bottom w:val="none" w:sz="0" w:space="0" w:color="auto"/>
        <w:right w:val="none" w:sz="0" w:space="0" w:color="auto"/>
      </w:divBdr>
    </w:div>
    <w:div w:id="1257980789">
      <w:bodyDiv w:val="1"/>
      <w:marLeft w:val="0"/>
      <w:marRight w:val="0"/>
      <w:marTop w:val="0"/>
      <w:marBottom w:val="0"/>
      <w:divBdr>
        <w:top w:val="none" w:sz="0" w:space="0" w:color="auto"/>
        <w:left w:val="none" w:sz="0" w:space="0" w:color="auto"/>
        <w:bottom w:val="none" w:sz="0" w:space="0" w:color="auto"/>
        <w:right w:val="none" w:sz="0" w:space="0" w:color="auto"/>
      </w:divBdr>
    </w:div>
    <w:div w:id="1260599639">
      <w:bodyDiv w:val="1"/>
      <w:marLeft w:val="0"/>
      <w:marRight w:val="0"/>
      <w:marTop w:val="0"/>
      <w:marBottom w:val="0"/>
      <w:divBdr>
        <w:top w:val="none" w:sz="0" w:space="0" w:color="auto"/>
        <w:left w:val="none" w:sz="0" w:space="0" w:color="auto"/>
        <w:bottom w:val="none" w:sz="0" w:space="0" w:color="auto"/>
        <w:right w:val="none" w:sz="0" w:space="0" w:color="auto"/>
      </w:divBdr>
      <w:divsChild>
        <w:div w:id="744953139">
          <w:marLeft w:val="0"/>
          <w:marRight w:val="0"/>
          <w:marTop w:val="0"/>
          <w:marBottom w:val="0"/>
          <w:divBdr>
            <w:top w:val="none" w:sz="0" w:space="0" w:color="auto"/>
            <w:left w:val="none" w:sz="0" w:space="0" w:color="auto"/>
            <w:bottom w:val="none" w:sz="0" w:space="0" w:color="auto"/>
            <w:right w:val="none" w:sz="0" w:space="0" w:color="auto"/>
          </w:divBdr>
        </w:div>
      </w:divsChild>
    </w:div>
    <w:div w:id="1265073256">
      <w:bodyDiv w:val="1"/>
      <w:marLeft w:val="0"/>
      <w:marRight w:val="0"/>
      <w:marTop w:val="0"/>
      <w:marBottom w:val="0"/>
      <w:divBdr>
        <w:top w:val="none" w:sz="0" w:space="0" w:color="auto"/>
        <w:left w:val="none" w:sz="0" w:space="0" w:color="auto"/>
        <w:bottom w:val="none" w:sz="0" w:space="0" w:color="auto"/>
        <w:right w:val="none" w:sz="0" w:space="0" w:color="auto"/>
      </w:divBdr>
    </w:div>
    <w:div w:id="1289970485">
      <w:bodyDiv w:val="1"/>
      <w:marLeft w:val="0"/>
      <w:marRight w:val="0"/>
      <w:marTop w:val="0"/>
      <w:marBottom w:val="0"/>
      <w:divBdr>
        <w:top w:val="none" w:sz="0" w:space="0" w:color="auto"/>
        <w:left w:val="none" w:sz="0" w:space="0" w:color="auto"/>
        <w:bottom w:val="none" w:sz="0" w:space="0" w:color="auto"/>
        <w:right w:val="none" w:sz="0" w:space="0" w:color="auto"/>
      </w:divBdr>
    </w:div>
    <w:div w:id="1330474987">
      <w:bodyDiv w:val="1"/>
      <w:marLeft w:val="0"/>
      <w:marRight w:val="0"/>
      <w:marTop w:val="0"/>
      <w:marBottom w:val="0"/>
      <w:divBdr>
        <w:top w:val="none" w:sz="0" w:space="0" w:color="auto"/>
        <w:left w:val="none" w:sz="0" w:space="0" w:color="auto"/>
        <w:bottom w:val="none" w:sz="0" w:space="0" w:color="auto"/>
        <w:right w:val="none" w:sz="0" w:space="0" w:color="auto"/>
      </w:divBdr>
    </w:div>
    <w:div w:id="1383556713">
      <w:bodyDiv w:val="1"/>
      <w:marLeft w:val="0"/>
      <w:marRight w:val="0"/>
      <w:marTop w:val="0"/>
      <w:marBottom w:val="0"/>
      <w:divBdr>
        <w:top w:val="none" w:sz="0" w:space="0" w:color="auto"/>
        <w:left w:val="none" w:sz="0" w:space="0" w:color="auto"/>
        <w:bottom w:val="none" w:sz="0" w:space="0" w:color="auto"/>
        <w:right w:val="none" w:sz="0" w:space="0" w:color="auto"/>
      </w:divBdr>
    </w:div>
    <w:div w:id="1413505172">
      <w:bodyDiv w:val="1"/>
      <w:marLeft w:val="0"/>
      <w:marRight w:val="0"/>
      <w:marTop w:val="0"/>
      <w:marBottom w:val="0"/>
      <w:divBdr>
        <w:top w:val="none" w:sz="0" w:space="0" w:color="auto"/>
        <w:left w:val="none" w:sz="0" w:space="0" w:color="auto"/>
        <w:bottom w:val="none" w:sz="0" w:space="0" w:color="auto"/>
        <w:right w:val="none" w:sz="0" w:space="0" w:color="auto"/>
      </w:divBdr>
    </w:div>
    <w:div w:id="1440563680">
      <w:bodyDiv w:val="1"/>
      <w:marLeft w:val="0"/>
      <w:marRight w:val="0"/>
      <w:marTop w:val="0"/>
      <w:marBottom w:val="0"/>
      <w:divBdr>
        <w:top w:val="none" w:sz="0" w:space="0" w:color="auto"/>
        <w:left w:val="none" w:sz="0" w:space="0" w:color="auto"/>
        <w:bottom w:val="none" w:sz="0" w:space="0" w:color="auto"/>
        <w:right w:val="none" w:sz="0" w:space="0" w:color="auto"/>
      </w:divBdr>
    </w:div>
    <w:div w:id="1443721418">
      <w:bodyDiv w:val="1"/>
      <w:marLeft w:val="0"/>
      <w:marRight w:val="0"/>
      <w:marTop w:val="0"/>
      <w:marBottom w:val="0"/>
      <w:divBdr>
        <w:top w:val="none" w:sz="0" w:space="0" w:color="auto"/>
        <w:left w:val="none" w:sz="0" w:space="0" w:color="auto"/>
        <w:bottom w:val="none" w:sz="0" w:space="0" w:color="auto"/>
        <w:right w:val="none" w:sz="0" w:space="0" w:color="auto"/>
      </w:divBdr>
    </w:div>
    <w:div w:id="1471287488">
      <w:bodyDiv w:val="1"/>
      <w:marLeft w:val="0"/>
      <w:marRight w:val="0"/>
      <w:marTop w:val="0"/>
      <w:marBottom w:val="0"/>
      <w:divBdr>
        <w:top w:val="none" w:sz="0" w:space="0" w:color="auto"/>
        <w:left w:val="none" w:sz="0" w:space="0" w:color="auto"/>
        <w:bottom w:val="none" w:sz="0" w:space="0" w:color="auto"/>
        <w:right w:val="none" w:sz="0" w:space="0" w:color="auto"/>
      </w:divBdr>
    </w:div>
    <w:div w:id="1511262725">
      <w:bodyDiv w:val="1"/>
      <w:marLeft w:val="0"/>
      <w:marRight w:val="0"/>
      <w:marTop w:val="0"/>
      <w:marBottom w:val="0"/>
      <w:divBdr>
        <w:top w:val="none" w:sz="0" w:space="0" w:color="auto"/>
        <w:left w:val="none" w:sz="0" w:space="0" w:color="auto"/>
        <w:bottom w:val="none" w:sz="0" w:space="0" w:color="auto"/>
        <w:right w:val="none" w:sz="0" w:space="0" w:color="auto"/>
      </w:divBdr>
      <w:divsChild>
        <w:div w:id="2141994701">
          <w:marLeft w:val="0"/>
          <w:marRight w:val="0"/>
          <w:marTop w:val="480"/>
          <w:marBottom w:val="240"/>
          <w:divBdr>
            <w:top w:val="none" w:sz="0" w:space="0" w:color="auto"/>
            <w:left w:val="none" w:sz="0" w:space="0" w:color="auto"/>
            <w:bottom w:val="none" w:sz="0" w:space="0" w:color="auto"/>
            <w:right w:val="none" w:sz="0" w:space="0" w:color="auto"/>
          </w:divBdr>
        </w:div>
        <w:div w:id="1657297118">
          <w:marLeft w:val="0"/>
          <w:marRight w:val="0"/>
          <w:marTop w:val="0"/>
          <w:marBottom w:val="567"/>
          <w:divBdr>
            <w:top w:val="none" w:sz="0" w:space="0" w:color="auto"/>
            <w:left w:val="none" w:sz="0" w:space="0" w:color="auto"/>
            <w:bottom w:val="none" w:sz="0" w:space="0" w:color="auto"/>
            <w:right w:val="none" w:sz="0" w:space="0" w:color="auto"/>
          </w:divBdr>
        </w:div>
      </w:divsChild>
    </w:div>
    <w:div w:id="1550453208">
      <w:bodyDiv w:val="1"/>
      <w:marLeft w:val="0"/>
      <w:marRight w:val="0"/>
      <w:marTop w:val="0"/>
      <w:marBottom w:val="0"/>
      <w:divBdr>
        <w:top w:val="none" w:sz="0" w:space="0" w:color="auto"/>
        <w:left w:val="none" w:sz="0" w:space="0" w:color="auto"/>
        <w:bottom w:val="none" w:sz="0" w:space="0" w:color="auto"/>
        <w:right w:val="none" w:sz="0" w:space="0" w:color="auto"/>
      </w:divBdr>
    </w:div>
    <w:div w:id="1574703534">
      <w:bodyDiv w:val="1"/>
      <w:marLeft w:val="0"/>
      <w:marRight w:val="0"/>
      <w:marTop w:val="0"/>
      <w:marBottom w:val="0"/>
      <w:divBdr>
        <w:top w:val="none" w:sz="0" w:space="0" w:color="auto"/>
        <w:left w:val="none" w:sz="0" w:space="0" w:color="auto"/>
        <w:bottom w:val="none" w:sz="0" w:space="0" w:color="auto"/>
        <w:right w:val="none" w:sz="0" w:space="0" w:color="auto"/>
      </w:divBdr>
    </w:div>
    <w:div w:id="1590042125">
      <w:bodyDiv w:val="1"/>
      <w:marLeft w:val="0"/>
      <w:marRight w:val="0"/>
      <w:marTop w:val="0"/>
      <w:marBottom w:val="0"/>
      <w:divBdr>
        <w:top w:val="none" w:sz="0" w:space="0" w:color="auto"/>
        <w:left w:val="none" w:sz="0" w:space="0" w:color="auto"/>
        <w:bottom w:val="none" w:sz="0" w:space="0" w:color="auto"/>
        <w:right w:val="none" w:sz="0" w:space="0" w:color="auto"/>
      </w:divBdr>
    </w:div>
    <w:div w:id="1599606987">
      <w:bodyDiv w:val="1"/>
      <w:marLeft w:val="45"/>
      <w:marRight w:val="45"/>
      <w:marTop w:val="90"/>
      <w:marBottom w:val="90"/>
      <w:divBdr>
        <w:top w:val="none" w:sz="0" w:space="0" w:color="auto"/>
        <w:left w:val="none" w:sz="0" w:space="0" w:color="auto"/>
        <w:bottom w:val="none" w:sz="0" w:space="0" w:color="auto"/>
        <w:right w:val="none" w:sz="0" w:space="0" w:color="auto"/>
      </w:divBdr>
      <w:divsChild>
        <w:div w:id="1917588364">
          <w:marLeft w:val="0"/>
          <w:marRight w:val="0"/>
          <w:marTop w:val="240"/>
          <w:marBottom w:val="0"/>
          <w:divBdr>
            <w:top w:val="none" w:sz="0" w:space="0" w:color="auto"/>
            <w:left w:val="none" w:sz="0" w:space="0" w:color="auto"/>
            <w:bottom w:val="none" w:sz="0" w:space="0" w:color="auto"/>
            <w:right w:val="none" w:sz="0" w:space="0" w:color="auto"/>
          </w:divBdr>
        </w:div>
      </w:divsChild>
    </w:div>
    <w:div w:id="1609124345">
      <w:bodyDiv w:val="1"/>
      <w:marLeft w:val="0"/>
      <w:marRight w:val="0"/>
      <w:marTop w:val="0"/>
      <w:marBottom w:val="0"/>
      <w:divBdr>
        <w:top w:val="none" w:sz="0" w:space="0" w:color="auto"/>
        <w:left w:val="none" w:sz="0" w:space="0" w:color="auto"/>
        <w:bottom w:val="none" w:sz="0" w:space="0" w:color="auto"/>
        <w:right w:val="none" w:sz="0" w:space="0" w:color="auto"/>
      </w:divBdr>
    </w:div>
    <w:div w:id="1651059770">
      <w:bodyDiv w:val="1"/>
      <w:marLeft w:val="0"/>
      <w:marRight w:val="0"/>
      <w:marTop w:val="0"/>
      <w:marBottom w:val="0"/>
      <w:divBdr>
        <w:top w:val="none" w:sz="0" w:space="0" w:color="auto"/>
        <w:left w:val="none" w:sz="0" w:space="0" w:color="auto"/>
        <w:bottom w:val="none" w:sz="0" w:space="0" w:color="auto"/>
        <w:right w:val="none" w:sz="0" w:space="0" w:color="auto"/>
      </w:divBdr>
    </w:div>
    <w:div w:id="1727100972">
      <w:bodyDiv w:val="1"/>
      <w:marLeft w:val="0"/>
      <w:marRight w:val="0"/>
      <w:marTop w:val="0"/>
      <w:marBottom w:val="0"/>
      <w:divBdr>
        <w:top w:val="none" w:sz="0" w:space="0" w:color="auto"/>
        <w:left w:val="none" w:sz="0" w:space="0" w:color="auto"/>
        <w:bottom w:val="none" w:sz="0" w:space="0" w:color="auto"/>
        <w:right w:val="none" w:sz="0" w:space="0" w:color="auto"/>
      </w:divBdr>
    </w:div>
    <w:div w:id="1746754775">
      <w:bodyDiv w:val="1"/>
      <w:marLeft w:val="0"/>
      <w:marRight w:val="0"/>
      <w:marTop w:val="0"/>
      <w:marBottom w:val="0"/>
      <w:divBdr>
        <w:top w:val="none" w:sz="0" w:space="0" w:color="auto"/>
        <w:left w:val="none" w:sz="0" w:space="0" w:color="auto"/>
        <w:bottom w:val="none" w:sz="0" w:space="0" w:color="auto"/>
        <w:right w:val="none" w:sz="0" w:space="0" w:color="auto"/>
      </w:divBdr>
    </w:div>
    <w:div w:id="1784491836">
      <w:bodyDiv w:val="1"/>
      <w:marLeft w:val="0"/>
      <w:marRight w:val="0"/>
      <w:marTop w:val="0"/>
      <w:marBottom w:val="0"/>
      <w:divBdr>
        <w:top w:val="none" w:sz="0" w:space="0" w:color="auto"/>
        <w:left w:val="none" w:sz="0" w:space="0" w:color="auto"/>
        <w:bottom w:val="none" w:sz="0" w:space="0" w:color="auto"/>
        <w:right w:val="none" w:sz="0" w:space="0" w:color="auto"/>
      </w:divBdr>
    </w:div>
    <w:div w:id="1787701590">
      <w:bodyDiv w:val="1"/>
      <w:marLeft w:val="0"/>
      <w:marRight w:val="0"/>
      <w:marTop w:val="0"/>
      <w:marBottom w:val="0"/>
      <w:divBdr>
        <w:top w:val="none" w:sz="0" w:space="0" w:color="auto"/>
        <w:left w:val="none" w:sz="0" w:space="0" w:color="auto"/>
        <w:bottom w:val="none" w:sz="0" w:space="0" w:color="auto"/>
        <w:right w:val="none" w:sz="0" w:space="0" w:color="auto"/>
      </w:divBdr>
    </w:div>
    <w:div w:id="1872180561">
      <w:bodyDiv w:val="1"/>
      <w:marLeft w:val="0"/>
      <w:marRight w:val="0"/>
      <w:marTop w:val="0"/>
      <w:marBottom w:val="0"/>
      <w:divBdr>
        <w:top w:val="none" w:sz="0" w:space="0" w:color="auto"/>
        <w:left w:val="none" w:sz="0" w:space="0" w:color="auto"/>
        <w:bottom w:val="none" w:sz="0" w:space="0" w:color="auto"/>
        <w:right w:val="none" w:sz="0" w:space="0" w:color="auto"/>
      </w:divBdr>
    </w:div>
    <w:div w:id="1892569796">
      <w:bodyDiv w:val="1"/>
      <w:marLeft w:val="0"/>
      <w:marRight w:val="0"/>
      <w:marTop w:val="0"/>
      <w:marBottom w:val="0"/>
      <w:divBdr>
        <w:top w:val="none" w:sz="0" w:space="0" w:color="auto"/>
        <w:left w:val="none" w:sz="0" w:space="0" w:color="auto"/>
        <w:bottom w:val="none" w:sz="0" w:space="0" w:color="auto"/>
        <w:right w:val="none" w:sz="0" w:space="0" w:color="auto"/>
      </w:divBdr>
    </w:div>
    <w:div w:id="1895192057">
      <w:bodyDiv w:val="1"/>
      <w:marLeft w:val="0"/>
      <w:marRight w:val="0"/>
      <w:marTop w:val="0"/>
      <w:marBottom w:val="0"/>
      <w:divBdr>
        <w:top w:val="none" w:sz="0" w:space="0" w:color="auto"/>
        <w:left w:val="none" w:sz="0" w:space="0" w:color="auto"/>
        <w:bottom w:val="none" w:sz="0" w:space="0" w:color="auto"/>
        <w:right w:val="none" w:sz="0" w:space="0" w:color="auto"/>
      </w:divBdr>
      <w:divsChild>
        <w:div w:id="109933125">
          <w:marLeft w:val="0"/>
          <w:marRight w:val="0"/>
          <w:marTop w:val="0"/>
          <w:marBottom w:val="0"/>
          <w:divBdr>
            <w:top w:val="none" w:sz="0" w:space="0" w:color="auto"/>
            <w:left w:val="none" w:sz="0" w:space="0" w:color="auto"/>
            <w:bottom w:val="none" w:sz="0" w:space="0" w:color="auto"/>
            <w:right w:val="none" w:sz="0" w:space="0" w:color="auto"/>
          </w:divBdr>
          <w:divsChild>
            <w:div w:id="1797987957">
              <w:marLeft w:val="0"/>
              <w:marRight w:val="0"/>
              <w:marTop w:val="0"/>
              <w:marBottom w:val="0"/>
              <w:divBdr>
                <w:top w:val="none" w:sz="0" w:space="0" w:color="auto"/>
                <w:left w:val="none" w:sz="0" w:space="0" w:color="auto"/>
                <w:bottom w:val="none" w:sz="0" w:space="0" w:color="auto"/>
                <w:right w:val="none" w:sz="0" w:space="0" w:color="auto"/>
              </w:divBdr>
              <w:divsChild>
                <w:div w:id="2003772151">
                  <w:marLeft w:val="0"/>
                  <w:marRight w:val="0"/>
                  <w:marTop w:val="0"/>
                  <w:marBottom w:val="0"/>
                  <w:divBdr>
                    <w:top w:val="none" w:sz="0" w:space="0" w:color="auto"/>
                    <w:left w:val="none" w:sz="0" w:space="0" w:color="auto"/>
                    <w:bottom w:val="none" w:sz="0" w:space="0" w:color="auto"/>
                    <w:right w:val="none" w:sz="0" w:space="0" w:color="auto"/>
                  </w:divBdr>
                  <w:divsChild>
                    <w:div w:id="1817919666">
                      <w:marLeft w:val="0"/>
                      <w:marRight w:val="0"/>
                      <w:marTop w:val="0"/>
                      <w:marBottom w:val="0"/>
                      <w:divBdr>
                        <w:top w:val="none" w:sz="0" w:space="0" w:color="auto"/>
                        <w:left w:val="none" w:sz="0" w:space="0" w:color="auto"/>
                        <w:bottom w:val="none" w:sz="0" w:space="0" w:color="auto"/>
                        <w:right w:val="none" w:sz="0" w:space="0" w:color="auto"/>
                      </w:divBdr>
                      <w:divsChild>
                        <w:div w:id="220482218">
                          <w:marLeft w:val="0"/>
                          <w:marRight w:val="0"/>
                          <w:marTop w:val="300"/>
                          <w:marBottom w:val="0"/>
                          <w:divBdr>
                            <w:top w:val="none" w:sz="0" w:space="0" w:color="auto"/>
                            <w:left w:val="none" w:sz="0" w:space="0" w:color="auto"/>
                            <w:bottom w:val="none" w:sz="0" w:space="0" w:color="auto"/>
                            <w:right w:val="none" w:sz="0" w:space="0" w:color="auto"/>
                          </w:divBdr>
                          <w:divsChild>
                            <w:div w:id="17064394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77882">
      <w:bodyDiv w:val="1"/>
      <w:marLeft w:val="0"/>
      <w:marRight w:val="0"/>
      <w:marTop w:val="0"/>
      <w:marBottom w:val="0"/>
      <w:divBdr>
        <w:top w:val="none" w:sz="0" w:space="0" w:color="auto"/>
        <w:left w:val="none" w:sz="0" w:space="0" w:color="auto"/>
        <w:bottom w:val="none" w:sz="0" w:space="0" w:color="auto"/>
        <w:right w:val="none" w:sz="0" w:space="0" w:color="auto"/>
      </w:divBdr>
    </w:div>
    <w:div w:id="1923566311">
      <w:bodyDiv w:val="1"/>
      <w:marLeft w:val="0"/>
      <w:marRight w:val="0"/>
      <w:marTop w:val="0"/>
      <w:marBottom w:val="0"/>
      <w:divBdr>
        <w:top w:val="none" w:sz="0" w:space="0" w:color="auto"/>
        <w:left w:val="none" w:sz="0" w:space="0" w:color="auto"/>
        <w:bottom w:val="none" w:sz="0" w:space="0" w:color="auto"/>
        <w:right w:val="none" w:sz="0" w:space="0" w:color="auto"/>
      </w:divBdr>
      <w:divsChild>
        <w:div w:id="1560094622">
          <w:marLeft w:val="0"/>
          <w:marRight w:val="0"/>
          <w:marTop w:val="0"/>
          <w:marBottom w:val="0"/>
          <w:divBdr>
            <w:top w:val="none" w:sz="0" w:space="0" w:color="auto"/>
            <w:left w:val="none" w:sz="0" w:space="0" w:color="auto"/>
            <w:bottom w:val="none" w:sz="0" w:space="0" w:color="auto"/>
            <w:right w:val="none" w:sz="0" w:space="0" w:color="auto"/>
          </w:divBdr>
          <w:divsChild>
            <w:div w:id="1893274624">
              <w:marLeft w:val="0"/>
              <w:marRight w:val="0"/>
              <w:marTop w:val="0"/>
              <w:marBottom w:val="0"/>
              <w:divBdr>
                <w:top w:val="none" w:sz="0" w:space="0" w:color="auto"/>
                <w:left w:val="none" w:sz="0" w:space="0" w:color="auto"/>
                <w:bottom w:val="none" w:sz="0" w:space="0" w:color="auto"/>
                <w:right w:val="none" w:sz="0" w:space="0" w:color="auto"/>
              </w:divBdr>
              <w:divsChild>
                <w:div w:id="1439256421">
                  <w:marLeft w:val="0"/>
                  <w:marRight w:val="0"/>
                  <w:marTop w:val="0"/>
                  <w:marBottom w:val="0"/>
                  <w:divBdr>
                    <w:top w:val="none" w:sz="0" w:space="0" w:color="auto"/>
                    <w:left w:val="none" w:sz="0" w:space="0" w:color="auto"/>
                    <w:bottom w:val="none" w:sz="0" w:space="0" w:color="auto"/>
                    <w:right w:val="none" w:sz="0" w:space="0" w:color="auto"/>
                  </w:divBdr>
                  <w:divsChild>
                    <w:div w:id="1104302935">
                      <w:marLeft w:val="0"/>
                      <w:marRight w:val="0"/>
                      <w:marTop w:val="0"/>
                      <w:marBottom w:val="0"/>
                      <w:divBdr>
                        <w:top w:val="none" w:sz="0" w:space="0" w:color="auto"/>
                        <w:left w:val="none" w:sz="0" w:space="0" w:color="auto"/>
                        <w:bottom w:val="none" w:sz="0" w:space="0" w:color="auto"/>
                        <w:right w:val="none" w:sz="0" w:space="0" w:color="auto"/>
                      </w:divBdr>
                      <w:divsChild>
                        <w:div w:id="711736212">
                          <w:marLeft w:val="0"/>
                          <w:marRight w:val="0"/>
                          <w:marTop w:val="300"/>
                          <w:marBottom w:val="0"/>
                          <w:divBdr>
                            <w:top w:val="none" w:sz="0" w:space="0" w:color="auto"/>
                            <w:left w:val="none" w:sz="0" w:space="0" w:color="auto"/>
                            <w:bottom w:val="none" w:sz="0" w:space="0" w:color="auto"/>
                            <w:right w:val="none" w:sz="0" w:space="0" w:color="auto"/>
                          </w:divBdr>
                          <w:divsChild>
                            <w:div w:id="11990057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3684">
      <w:bodyDiv w:val="1"/>
      <w:marLeft w:val="0"/>
      <w:marRight w:val="0"/>
      <w:marTop w:val="0"/>
      <w:marBottom w:val="0"/>
      <w:divBdr>
        <w:top w:val="none" w:sz="0" w:space="0" w:color="auto"/>
        <w:left w:val="none" w:sz="0" w:space="0" w:color="auto"/>
        <w:bottom w:val="none" w:sz="0" w:space="0" w:color="auto"/>
        <w:right w:val="none" w:sz="0" w:space="0" w:color="auto"/>
      </w:divBdr>
    </w:div>
    <w:div w:id="1962689910">
      <w:bodyDiv w:val="1"/>
      <w:marLeft w:val="0"/>
      <w:marRight w:val="0"/>
      <w:marTop w:val="0"/>
      <w:marBottom w:val="0"/>
      <w:divBdr>
        <w:top w:val="none" w:sz="0" w:space="0" w:color="auto"/>
        <w:left w:val="none" w:sz="0" w:space="0" w:color="auto"/>
        <w:bottom w:val="none" w:sz="0" w:space="0" w:color="auto"/>
        <w:right w:val="none" w:sz="0" w:space="0" w:color="auto"/>
      </w:divBdr>
    </w:div>
    <w:div w:id="1975060344">
      <w:bodyDiv w:val="1"/>
      <w:marLeft w:val="0"/>
      <w:marRight w:val="0"/>
      <w:marTop w:val="0"/>
      <w:marBottom w:val="0"/>
      <w:divBdr>
        <w:top w:val="none" w:sz="0" w:space="0" w:color="auto"/>
        <w:left w:val="none" w:sz="0" w:space="0" w:color="auto"/>
        <w:bottom w:val="none" w:sz="0" w:space="0" w:color="auto"/>
        <w:right w:val="none" w:sz="0" w:space="0" w:color="auto"/>
      </w:divBdr>
    </w:div>
    <w:div w:id="2114086028">
      <w:bodyDiv w:val="1"/>
      <w:marLeft w:val="0"/>
      <w:marRight w:val="0"/>
      <w:marTop w:val="0"/>
      <w:marBottom w:val="0"/>
      <w:divBdr>
        <w:top w:val="none" w:sz="0" w:space="0" w:color="auto"/>
        <w:left w:val="none" w:sz="0" w:space="0" w:color="auto"/>
        <w:bottom w:val="none" w:sz="0" w:space="0" w:color="auto"/>
        <w:right w:val="none" w:sz="0" w:space="0" w:color="auto"/>
      </w:divBdr>
      <w:divsChild>
        <w:div w:id="1425685585">
          <w:marLeft w:val="0"/>
          <w:marRight w:val="0"/>
          <w:marTop w:val="0"/>
          <w:marBottom w:val="0"/>
          <w:divBdr>
            <w:top w:val="none" w:sz="0" w:space="0" w:color="auto"/>
            <w:left w:val="none" w:sz="0" w:space="0" w:color="auto"/>
            <w:bottom w:val="none" w:sz="0" w:space="0" w:color="auto"/>
            <w:right w:val="none" w:sz="0" w:space="0" w:color="auto"/>
          </w:divBdr>
        </w:div>
      </w:divsChild>
    </w:div>
    <w:div w:id="21212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vm.gov.lv/lv/publiska-apspriesana-0" TargetMode="External"/><Relationship Id="rId4" Type="http://schemas.openxmlformats.org/officeDocument/2006/relationships/styles" Target="styles.xml"/><Relationship Id="rId9" Type="http://schemas.openxmlformats.org/officeDocument/2006/relationships/hyperlink" Target="https://likumi.lv/ta/id/301399-veselibas-aprupes-pakalpojumu-organizesanas-un-samaksas-kartib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rvk.gov.lv/lv/revizijas/revizijas/noslegtas-revizijas/cilvekresursi-veselibas-aprupe" TargetMode="External"/><Relationship Id="rId2" Type="http://schemas.openxmlformats.org/officeDocument/2006/relationships/hyperlink" Target="https://eur-lex.europa.eu/legal-content/LV/TXT/PDF/?uri=CELEX:52020DC0514&amp;from=EN" TargetMode="External"/><Relationship Id="rId1" Type="http://schemas.openxmlformats.org/officeDocument/2006/relationships/hyperlink" Target="https://eur-lex.europa.eu/legal-content/LV/TXT/PDF/?uri=CELEX:52020DC0500&amp;from=EN" TargetMode="External"/><Relationship Id="rId6" Type="http://schemas.openxmlformats.org/officeDocument/2006/relationships/hyperlink" Target="https://likumi.lv/ta/id/312533-grozijumi-ministru-kabineta-2017-gada-21-marta-noteikumos-nr-158-darbibas-programmas-izaugsme-un-nodarbinatiba-9-2-5-specifiska..." TargetMode="External"/><Relationship Id="rId5" Type="http://schemas.openxmlformats.org/officeDocument/2006/relationships/hyperlink" Target="https://likumi.lv/ta/id/312533-grozijumi-ministru-kabineta-2017-gada-21-marta-noteikumos-nr-158-darbibas-programmas-izaugsme-un-nodarbinatiba-9-2-5-specifiska..." TargetMode="External"/><Relationship Id="rId4" Type="http://schemas.openxmlformats.org/officeDocument/2006/relationships/hyperlink" Target="https://www.lrvk.gov.lv/lv/revizijas/revizijas/noslegtas-revizijas/cilvekresursi-veselibas-apr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A04F-DC4F-4F43-8068-074ECB9C2640}">
  <ds:schemaRefs>
    <ds:schemaRef ds:uri="http://schemas.openxmlformats.org/officeDocument/2006/bibliography"/>
  </ds:schemaRefs>
</ds:datastoreItem>
</file>

<file path=customXml/itemProps2.xml><?xml version="1.0" encoding="utf-8"?>
<ds:datastoreItem xmlns:ds="http://schemas.openxmlformats.org/officeDocument/2006/customXml" ds:itemID="{AEA19EF9-EF8F-4E26-A76F-61834ADB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4337</Words>
  <Characters>29899</Characters>
  <Application>Microsoft Office Word</Application>
  <DocSecurity>0</DocSecurity>
  <Lines>249</Lines>
  <Paragraphs>68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Ministru kabineta noteikumu projekta "Grozījumi Ministru kabineta 2017. gada 21.marta noteikumos Nr.158  "Darbības programmas "Izaugsme un nodarbinātība" 9.2.5. specifiskā atbalsta mērķa "Uzlabot pieejamību ārstniecības un ārstniecības atbalsta personām, </vt:lpstr>
      <vt:lpstr>Ministru kabineta noteikumu projekta „Grozījumi Ministru kabineta 2010.gada 4.augusta noteikumos Nr.726 „Noteikumi par darbības programmas „Infrastruktūra un pakalpojumi” papildinājuma 3.1.5.1.1.apakšaktivitāti „Ģimenes ārstu tīkla attīstība””” sākotnējās</vt:lpstr>
      <vt:lpstr>Noteikumi par darbības programmas „Cilvēkresursi un nodarbinātība” papildinājuma 1.3.2.3. aktivitāti “Veselības aprūpes un veicināšanas procesā iesaistīto institūciju personāla kompetences, prasmju un iemaņu līmeņa paaugstināšana”</vt:lpstr>
    </vt:vector>
  </TitlesOfParts>
  <Company>Veselības minsitrija</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2017. gada 21.marta noteikumos Nr.158  "Darbības programmas "Izaugsme un nodarbinātība" 9.2.5. specifiskā atbalsta mērķa "Uzlabot pieejamību ārstniecības un ārstniecības atbalsta personām, kas sniedz pakalpojumus prioritārajās veselības jomās iedzīvotājiem, kas dzīvo ārpus Rīgas" īstenošanas noteikumi" sākotnējās ietekmes novērtējuma ziņojums (anotācija)</dc:title>
  <dc:subject>Anotācija</dc:subject>
  <dc:creator>Dace Ozoliņa</dc:creator>
  <dc:description>Jūlija Grabovska
Investīciju un Eiropas Savienības fondu 
uzraudzības departamenta ES fondu ieviešanas nodaļas vecākā referente
Tālr.:  67 876 173 Julija.Grabovska@vm.gov.lv</dc:description>
  <cp:lastModifiedBy>Evita Bune</cp:lastModifiedBy>
  <cp:revision>2</cp:revision>
  <cp:lastPrinted>2019-10-02T07:12:00Z</cp:lastPrinted>
  <dcterms:created xsi:type="dcterms:W3CDTF">2021-02-12T16:43:00Z</dcterms:created>
  <dcterms:modified xsi:type="dcterms:W3CDTF">2021-02-12T16:43:00Z</dcterms:modified>
</cp:coreProperties>
</file>