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1CF2" w14:textId="77777777" w:rsidR="001E744F" w:rsidRPr="0035107F" w:rsidRDefault="003B4652" w:rsidP="001E744F">
      <w:pPr>
        <w:widowControl/>
        <w:spacing w:after="0" w:line="240" w:lineRule="auto"/>
        <w:contextualSpacing/>
        <w:jc w:val="center"/>
        <w:outlineLvl w:val="1"/>
        <w:rPr>
          <w:rFonts w:ascii="Times New Roman" w:eastAsia="Times New Roman" w:hAnsi="Times New Roman"/>
          <w:b/>
          <w:sz w:val="28"/>
          <w:szCs w:val="28"/>
          <w:lang w:eastAsia="lv-LV" w:bidi="lo-LA"/>
        </w:rPr>
      </w:pPr>
      <w:r w:rsidRPr="0035107F">
        <w:rPr>
          <w:rFonts w:ascii="Times New Roman" w:eastAsia="Times New Roman" w:hAnsi="Times New Roman"/>
          <w:b/>
          <w:sz w:val="28"/>
          <w:szCs w:val="28"/>
          <w:lang w:eastAsia="lv-LV" w:bidi="lo-LA"/>
        </w:rPr>
        <w:t>Tehnoloģiju iesniegumu vērtēšanas kritēriji</w:t>
      </w:r>
    </w:p>
    <w:p w14:paraId="4B0E65A0" w14:textId="77777777" w:rsidR="001E744F" w:rsidRPr="0035107F" w:rsidRDefault="001E744F" w:rsidP="001E744F">
      <w:pPr>
        <w:widowControl/>
        <w:spacing w:after="0" w:line="240" w:lineRule="auto"/>
        <w:contextualSpacing/>
        <w:jc w:val="both"/>
        <w:rPr>
          <w:rFonts w:ascii="Times New Roman" w:eastAsia="Times New Roman" w:hAnsi="Times New Roman"/>
          <w:sz w:val="28"/>
          <w:szCs w:val="28"/>
          <w:lang w:eastAsia="lv-LV" w:bidi="lo-LA"/>
        </w:rPr>
      </w:pPr>
    </w:p>
    <w:tbl>
      <w:tblPr>
        <w:tblStyle w:val="TableGrid1"/>
        <w:tblW w:w="14175" w:type="dxa"/>
        <w:tblInd w:w="-5" w:type="dxa"/>
        <w:tblLook w:val="04A0" w:firstRow="1" w:lastRow="0" w:firstColumn="1" w:lastColumn="0" w:noHBand="0" w:noVBand="1"/>
      </w:tblPr>
      <w:tblGrid>
        <w:gridCol w:w="613"/>
        <w:gridCol w:w="5150"/>
        <w:gridCol w:w="8412"/>
      </w:tblGrid>
      <w:tr w:rsidR="000A31A5" w14:paraId="79043888" w14:textId="77777777" w:rsidTr="001E744F">
        <w:trPr>
          <w:tblHeader/>
        </w:trPr>
        <w:tc>
          <w:tcPr>
            <w:tcW w:w="471" w:type="dxa"/>
            <w:vAlign w:val="center"/>
          </w:tcPr>
          <w:p w14:paraId="025D92AE" w14:textId="77777777" w:rsidR="001E744F" w:rsidRPr="0035107F" w:rsidRDefault="003B4652"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Nr.</w:t>
            </w:r>
          </w:p>
        </w:tc>
        <w:tc>
          <w:tcPr>
            <w:tcW w:w="5199" w:type="dxa"/>
            <w:vAlign w:val="center"/>
          </w:tcPr>
          <w:p w14:paraId="5AD0D1BC" w14:textId="77777777" w:rsidR="001E744F" w:rsidRPr="0035107F" w:rsidRDefault="003B4652"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Kritērijs</w:t>
            </w:r>
          </w:p>
        </w:tc>
        <w:tc>
          <w:tcPr>
            <w:tcW w:w="8505" w:type="dxa"/>
            <w:vAlign w:val="center"/>
          </w:tcPr>
          <w:p w14:paraId="180AFFCE" w14:textId="77777777" w:rsidR="001E744F" w:rsidRPr="0035107F" w:rsidRDefault="003B4652"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Vērtēšanas metodika</w:t>
            </w:r>
          </w:p>
        </w:tc>
      </w:tr>
      <w:tr w:rsidR="000A31A5" w14:paraId="7B819BC4" w14:textId="77777777" w:rsidTr="001E744F">
        <w:tc>
          <w:tcPr>
            <w:tcW w:w="471" w:type="dxa"/>
            <w:vMerge w:val="restart"/>
          </w:tcPr>
          <w:p w14:paraId="31F9AA2D"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vMerge w:val="restart"/>
          </w:tcPr>
          <w:p w14:paraId="5202420F"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izmantojama veselības aprūpes pakalpojumu sniegšanai atbilstoši ārstniecības iestādes līmenim?</w:t>
            </w:r>
          </w:p>
        </w:tc>
        <w:tc>
          <w:tcPr>
            <w:tcW w:w="8505" w:type="dxa"/>
          </w:tcPr>
          <w:p w14:paraId="3BAD1EC1" w14:textId="5C748557" w:rsidR="001E744F" w:rsidRPr="0035107F" w:rsidRDefault="003B4652" w:rsidP="004A4E26">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Novērtē, vai ārstniecības iestādei ir noslēgts līgums ar </w:t>
            </w:r>
            <w:r>
              <w:rPr>
                <w:rFonts w:ascii="Times New Roman" w:eastAsia="Times New Roman" w:hAnsi="Times New Roman"/>
                <w:sz w:val="28"/>
                <w:szCs w:val="28"/>
                <w:lang w:bidi="lo-LA"/>
              </w:rPr>
              <w:t>Nacionālo veselības dienestu par pakalpojumiem, kurus plāno sniegt ar minēto tehnoloģiju</w:t>
            </w:r>
            <w:r w:rsidR="00AF33A2">
              <w:rPr>
                <w:rFonts w:ascii="Times New Roman" w:eastAsia="Times New Roman" w:hAnsi="Times New Roman"/>
                <w:sz w:val="28"/>
                <w:szCs w:val="28"/>
                <w:lang w:bidi="lo-LA"/>
              </w:rPr>
              <w:t>.</w:t>
            </w:r>
          </w:p>
        </w:tc>
      </w:tr>
      <w:tr w:rsidR="000A31A5" w14:paraId="3EB7F8FB" w14:textId="77777777" w:rsidTr="001E744F">
        <w:tc>
          <w:tcPr>
            <w:tcW w:w="471" w:type="dxa"/>
            <w:vMerge/>
          </w:tcPr>
          <w:p w14:paraId="36419D3F" w14:textId="77777777" w:rsidR="001E744F" w:rsidRPr="0035107F" w:rsidRDefault="001E744F" w:rsidP="004A4E26">
            <w:pPr>
              <w:widowControl/>
              <w:ind w:left="360"/>
              <w:contextualSpacing/>
              <w:jc w:val="both"/>
              <w:rPr>
                <w:rFonts w:ascii="Times New Roman" w:eastAsia="Times New Roman" w:hAnsi="Times New Roman"/>
                <w:sz w:val="28"/>
                <w:szCs w:val="28"/>
                <w:lang w:bidi="lo-LA"/>
              </w:rPr>
            </w:pPr>
          </w:p>
        </w:tc>
        <w:tc>
          <w:tcPr>
            <w:tcW w:w="5199" w:type="dxa"/>
            <w:vMerge/>
          </w:tcPr>
          <w:p w14:paraId="0E3A5B39" w14:textId="77777777" w:rsidR="001E744F" w:rsidRPr="0035107F" w:rsidRDefault="001E744F" w:rsidP="004A4E26">
            <w:pPr>
              <w:widowControl/>
              <w:contextualSpacing/>
              <w:jc w:val="both"/>
              <w:rPr>
                <w:rFonts w:ascii="Times New Roman" w:eastAsia="Times New Roman" w:hAnsi="Times New Roman"/>
                <w:sz w:val="28"/>
                <w:szCs w:val="28"/>
                <w:lang w:bidi="lo-LA"/>
              </w:rPr>
            </w:pPr>
          </w:p>
        </w:tc>
        <w:tc>
          <w:tcPr>
            <w:tcW w:w="8505" w:type="dxa"/>
          </w:tcPr>
          <w:p w14:paraId="6FCA4B4F" w14:textId="29E8A0FB" w:rsidR="001E744F" w:rsidRPr="0035107F" w:rsidRDefault="003B4652" w:rsidP="004A4E26">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Novērtē, vai tehnoloģija izmantojama </w:t>
            </w:r>
            <w:r w:rsidRPr="00224AC9">
              <w:rPr>
                <w:rFonts w:ascii="Times New Roman" w:eastAsia="Times New Roman" w:hAnsi="Times New Roman"/>
                <w:sz w:val="28"/>
                <w:szCs w:val="28"/>
                <w:lang w:bidi="lo-LA"/>
              </w:rPr>
              <w:t>to veselības aprūpes pakalpojumu</w:t>
            </w:r>
            <w:r>
              <w:rPr>
                <w:rFonts w:ascii="Times New Roman" w:eastAsia="Times New Roman" w:hAnsi="Times New Roman"/>
                <w:sz w:val="28"/>
                <w:szCs w:val="28"/>
                <w:lang w:bidi="lo-LA"/>
              </w:rPr>
              <w:t xml:space="preserve"> attīstībai</w:t>
            </w:r>
            <w:r w:rsidRPr="00224AC9">
              <w:rPr>
                <w:rFonts w:ascii="Times New Roman" w:eastAsia="Times New Roman" w:hAnsi="Times New Roman"/>
                <w:sz w:val="28"/>
                <w:szCs w:val="28"/>
                <w:lang w:bidi="lo-LA"/>
              </w:rPr>
              <w:t xml:space="preserve">,  kuri </w:t>
            </w:r>
            <w:r>
              <w:rPr>
                <w:rFonts w:ascii="Times New Roman" w:eastAsia="Times New Roman" w:hAnsi="Times New Roman"/>
                <w:sz w:val="28"/>
                <w:szCs w:val="28"/>
                <w:lang w:bidi="lo-LA"/>
              </w:rPr>
              <w:t xml:space="preserve"> ārstniecības iestādei</w:t>
            </w:r>
            <w:r w:rsidRPr="00224AC9">
              <w:rPr>
                <w:rFonts w:ascii="Times New Roman" w:eastAsia="Times New Roman" w:hAnsi="Times New Roman"/>
                <w:sz w:val="28"/>
                <w:szCs w:val="28"/>
                <w:lang w:bidi="lo-LA"/>
              </w:rPr>
              <w:t xml:space="preserve"> noteikti Ministru kabineta 2018. gada 28. augusta noteikumu Nr.555 “Veselības aprūpes pakalpojumu organizēšanas un samaksas kārtība” 6. pielikumā</w:t>
            </w:r>
            <w:r w:rsidR="00AF33A2">
              <w:rPr>
                <w:rFonts w:ascii="Times New Roman" w:eastAsia="Times New Roman" w:hAnsi="Times New Roman"/>
                <w:sz w:val="28"/>
                <w:szCs w:val="28"/>
                <w:lang w:bidi="lo-LA"/>
              </w:rPr>
              <w:t>.</w:t>
            </w:r>
          </w:p>
        </w:tc>
      </w:tr>
      <w:tr w:rsidR="000A31A5" w14:paraId="4295B50F" w14:textId="77777777" w:rsidTr="001E744F">
        <w:tc>
          <w:tcPr>
            <w:tcW w:w="471" w:type="dxa"/>
          </w:tcPr>
          <w:p w14:paraId="32D78296"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10B98053"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noslogojums būs pietiekams?</w:t>
            </w:r>
          </w:p>
        </w:tc>
        <w:tc>
          <w:tcPr>
            <w:tcW w:w="8505" w:type="dxa"/>
          </w:tcPr>
          <w:p w14:paraId="377C9CBC" w14:textId="5CF959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tehnoloģijas izmantošana plānota </w:t>
            </w:r>
            <w:r w:rsidRPr="0035107F">
              <w:rPr>
                <w:rFonts w:ascii="Times New Roman" w:eastAsia="Times New Roman" w:hAnsi="Times New Roman"/>
                <w:sz w:val="28"/>
                <w:szCs w:val="28"/>
                <w:lang w:bidi="lo-LA"/>
              </w:rPr>
              <w:t>efektīvi – vismaz 70%</w:t>
            </w:r>
            <w:r>
              <w:rPr>
                <w:rStyle w:val="Vresatsauce"/>
                <w:sz w:val="28"/>
                <w:szCs w:val="28"/>
                <w:lang w:bidi="lo-LA"/>
              </w:rPr>
              <w:footnoteReference w:id="1"/>
            </w:r>
            <w:r w:rsidRPr="0035107F">
              <w:rPr>
                <w:rFonts w:ascii="Times New Roman" w:eastAsia="Times New Roman" w:hAnsi="Times New Roman"/>
                <w:sz w:val="28"/>
                <w:szCs w:val="28"/>
                <w:lang w:bidi="lo-LA"/>
              </w:rPr>
              <w:t xml:space="preserve"> no tehnoloģijas veiktspējas vismaz 2 016 stundas gadā (ja tehnoloģijas izmantošanas specifika neparedz savādāku izmantošanas laiku) un tam ir </w:t>
            </w:r>
            <w:r w:rsidR="00AF33A2">
              <w:rPr>
                <w:rFonts w:ascii="Times New Roman" w:eastAsia="Times New Roman" w:hAnsi="Times New Roman"/>
                <w:sz w:val="28"/>
                <w:szCs w:val="28"/>
                <w:lang w:bidi="lo-LA"/>
              </w:rPr>
              <w:t>vai</w:t>
            </w:r>
            <w:r w:rsidRPr="0035107F">
              <w:rPr>
                <w:rFonts w:ascii="Times New Roman" w:eastAsia="Times New Roman" w:hAnsi="Times New Roman"/>
                <w:sz w:val="28"/>
                <w:szCs w:val="28"/>
                <w:lang w:bidi="lo-LA"/>
              </w:rPr>
              <w:t xml:space="preserve"> tiek plānots atbilstošs valsts pasūtījums.</w:t>
            </w:r>
          </w:p>
        </w:tc>
      </w:tr>
      <w:tr w:rsidR="000A31A5" w14:paraId="5797A1A9" w14:textId="77777777" w:rsidTr="001E744F">
        <w:tc>
          <w:tcPr>
            <w:tcW w:w="471" w:type="dxa"/>
          </w:tcPr>
          <w:p w14:paraId="044FD559"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05B86318"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plānotās izmaksas ir atbilstošas?</w:t>
            </w:r>
          </w:p>
        </w:tc>
        <w:tc>
          <w:tcPr>
            <w:tcW w:w="8505" w:type="dxa"/>
          </w:tcPr>
          <w:p w14:paraId="0DBE4632"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indikatīvi plānotās iegādes izmaksas  ir samērīgas tehnoloģijas līmenim, ņemot vērā tehnoloģijas vidējo tirgus vērtību, kā arī</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izmaksas ir uzrādītas atbilstoši pastāvošajai tirgus situācijai un iepirkuma ietvaros tiks nodrošināta godīga konkurence.</w:t>
            </w:r>
          </w:p>
        </w:tc>
      </w:tr>
      <w:tr w:rsidR="000A31A5" w14:paraId="7DCF569F" w14:textId="77777777" w:rsidTr="001E744F">
        <w:trPr>
          <w:trHeight w:val="924"/>
        </w:trPr>
        <w:tc>
          <w:tcPr>
            <w:tcW w:w="471" w:type="dxa"/>
          </w:tcPr>
          <w:p w14:paraId="6F21C4C1"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D8623AF"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esošā tehnoloģija ir nolietojusies? (ja attiecināms)</w:t>
            </w:r>
          </w:p>
        </w:tc>
        <w:tc>
          <w:tcPr>
            <w:tcW w:w="8505" w:type="dxa"/>
          </w:tcPr>
          <w:p w14:paraId="1E13EF48"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Gadījumā, ja paredzēts nomainīt jau esošu tehnoloģiju, novērtē, vai esošā tehnoloģija ir pietiekami nolietojusies (morāli un fiziski, vai arī tās izmantošana</w:t>
            </w:r>
            <w:r>
              <w:rPr>
                <w:rFonts w:ascii="Times New Roman" w:eastAsia="Times New Roman" w:hAnsi="Times New Roman"/>
                <w:sz w:val="28"/>
                <w:szCs w:val="28"/>
                <w:lang w:bidi="lo-LA"/>
              </w:rPr>
              <w:t>s termiņš ir beidzies vai tuvu ekspluatācijas beigu datumam</w:t>
            </w:r>
            <w:r w:rsidRPr="0035107F">
              <w:rPr>
                <w:rFonts w:ascii="Times New Roman" w:eastAsia="Times New Roman" w:hAnsi="Times New Roman"/>
                <w:sz w:val="28"/>
                <w:szCs w:val="28"/>
                <w:lang w:bidi="lo-LA"/>
              </w:rPr>
              <w:t>).</w:t>
            </w:r>
          </w:p>
        </w:tc>
      </w:tr>
      <w:tr w:rsidR="000A31A5" w14:paraId="2C2FDBA5" w14:textId="77777777" w:rsidTr="001E744F">
        <w:tc>
          <w:tcPr>
            <w:tcW w:w="471" w:type="dxa"/>
          </w:tcPr>
          <w:p w14:paraId="163B1E2E"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5018D78"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ārstniecības iestādei ir atbilstošs ārstniecības personāls, lai nodrošinātu tehnoloģijas pilnvērtīgu izmantošanu? </w:t>
            </w:r>
          </w:p>
        </w:tc>
        <w:tc>
          <w:tcPr>
            <w:tcW w:w="8505" w:type="dxa"/>
          </w:tcPr>
          <w:p w14:paraId="44167268" w14:textId="64EA00C5"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w:t>
            </w:r>
            <w:r>
              <w:rPr>
                <w:rFonts w:ascii="Times New Roman" w:eastAsia="Times New Roman" w:hAnsi="Times New Roman"/>
                <w:sz w:val="28"/>
                <w:szCs w:val="28"/>
                <w:lang w:bidi="lo-LA"/>
              </w:rPr>
              <w:t xml:space="preserve"> ir norādījis</w:t>
            </w:r>
            <w:r w:rsidR="00FC6EAC">
              <w:rPr>
                <w:rFonts w:ascii="Times New Roman" w:eastAsia="Times New Roman" w:hAnsi="Times New Roman"/>
                <w:sz w:val="28"/>
                <w:szCs w:val="28"/>
                <w:lang w:bidi="lo-LA"/>
              </w:rPr>
              <w:t>,</w:t>
            </w:r>
            <w:r w:rsidRPr="0035107F">
              <w:rPr>
                <w:rFonts w:ascii="Times New Roman" w:eastAsia="Times New Roman" w:hAnsi="Times New Roman"/>
                <w:sz w:val="28"/>
                <w:szCs w:val="28"/>
                <w:lang w:bidi="lo-LA"/>
              </w:rPr>
              <w:t xml:space="preserve"> ka ārstniecības iestādei ir atbilstošs ārstniecības personāls darbam ar attiecīgo tehnoloģiju vai arī ārstniecības personāls tiks apmācīts darbam ar attiecīgo tehnoloģiju līdz tehnoloģijas darbības uzsākšanai.</w:t>
            </w:r>
          </w:p>
        </w:tc>
      </w:tr>
      <w:tr w:rsidR="000A31A5" w14:paraId="55571F8C" w14:textId="77777777" w:rsidTr="001E744F">
        <w:tc>
          <w:tcPr>
            <w:tcW w:w="471" w:type="dxa"/>
          </w:tcPr>
          <w:p w14:paraId="430A16F1"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51EF8C2"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pamatota uz alternatīvu analīzes pamata?</w:t>
            </w:r>
          </w:p>
        </w:tc>
        <w:tc>
          <w:tcPr>
            <w:tcW w:w="8505" w:type="dxa"/>
          </w:tcPr>
          <w:p w14:paraId="124AA98C" w14:textId="236EF064"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tehnoloģijas iegāde ir izvēlēta uz alternatīvu analīzes pamata, izvērtējot iegādes prioritāti salīdzinot ar pārējām ārstniecības iestādes attīstības vajadzībām.</w:t>
            </w:r>
          </w:p>
        </w:tc>
      </w:tr>
      <w:tr w:rsidR="000A31A5" w14:paraId="64BF7D3E" w14:textId="77777777" w:rsidTr="001E744F">
        <w:tc>
          <w:tcPr>
            <w:tcW w:w="471" w:type="dxa"/>
          </w:tcPr>
          <w:p w14:paraId="0A6226D6"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278A593"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plānojot tehnoloģijas iegādi ir veikts apkalpes teritorijas tirgus izpētes process, ievērojot tirgus aizsardzības principu.</w:t>
            </w:r>
          </w:p>
        </w:tc>
        <w:tc>
          <w:tcPr>
            <w:tcW w:w="8505" w:type="dxa"/>
          </w:tcPr>
          <w:p w14:paraId="335BD322" w14:textId="30ECD846"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iesniegumā norādīt</w:t>
            </w:r>
            <w:r w:rsidR="009C77F9">
              <w:rPr>
                <w:rFonts w:ascii="Times New Roman" w:eastAsia="Times New Roman" w:hAnsi="Times New Roman"/>
                <w:sz w:val="28"/>
                <w:szCs w:val="28"/>
                <w:lang w:bidi="lo-LA"/>
              </w:rPr>
              <w:t>a</w:t>
            </w:r>
            <w:r w:rsidRPr="0035107F">
              <w:rPr>
                <w:rFonts w:ascii="Times New Roman" w:eastAsia="Times New Roman" w:hAnsi="Times New Roman"/>
                <w:sz w:val="28"/>
                <w:szCs w:val="28"/>
                <w:lang w:bidi="lo-LA"/>
              </w:rPr>
              <w:t xml:space="preserve"> apkalpes teritorijas tirgus izpēte par pieejamajām tehnoloģijām</w:t>
            </w:r>
            <w:r>
              <w:rPr>
                <w:rFonts w:ascii="Times New Roman" w:eastAsia="Times New Roman" w:hAnsi="Times New Roman"/>
                <w:sz w:val="28"/>
                <w:szCs w:val="28"/>
                <w:lang w:bidi="lo-LA"/>
              </w:rPr>
              <w:t xml:space="preserve"> ambulatorajā un stacionārajā sektorā, gan valsts apmaksāto pakalpojumu sniegšanā, gan</w:t>
            </w:r>
            <w:r w:rsidRPr="0035107F">
              <w:rPr>
                <w:rFonts w:ascii="Times New Roman" w:eastAsia="Times New Roman" w:hAnsi="Times New Roman"/>
                <w:sz w:val="28"/>
                <w:szCs w:val="28"/>
                <w:lang w:bidi="lo-LA"/>
              </w:rPr>
              <w:t xml:space="preserve"> privāto veselības aprūpes pakalpojumu sektorā. Vai ir veiktas sarunas ar Nacionālo veselības dienestu par apkalpes teritorijā esošajiem pakalpojumu sniedzējiem, kas nodrošina valsts apmaksātos pakalpojumus, kas nodrošināmi ar konkrēto tehnoloģiju. Vai veikta vajadzības analīze.</w:t>
            </w:r>
          </w:p>
        </w:tc>
      </w:tr>
      <w:tr w:rsidR="000A31A5" w14:paraId="25A94A25" w14:textId="77777777" w:rsidTr="001E744F">
        <w:tc>
          <w:tcPr>
            <w:tcW w:w="471" w:type="dxa"/>
          </w:tcPr>
          <w:p w14:paraId="21348EB7"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853B820" w14:textId="77777777"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attiecināma uz ar Veselības ministrijas 2020.gada 9.janvārī rīkojumu Nr.5 izveidotās darba grupas “Darba grupas medicīnisko ierīču racionāla ģeogrāfiskā izvietojuma noteikšanai un pieejamības uzlabošanai” ziņojumā minēto tehnoloģijas izvērtējumu</w:t>
            </w:r>
          </w:p>
        </w:tc>
        <w:tc>
          <w:tcPr>
            <w:tcW w:w="8505" w:type="dxa"/>
          </w:tcPr>
          <w:p w14:paraId="3ECBA5ED" w14:textId="57735588" w:rsidR="001E744F" w:rsidRPr="0035107F" w:rsidRDefault="003B4652"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 atbilst ar Veselības ministrijas 2020.gada 9.janvār</w:t>
            </w:r>
            <w:r w:rsidR="009C77F9">
              <w:rPr>
                <w:rFonts w:ascii="Times New Roman" w:eastAsia="Times New Roman" w:hAnsi="Times New Roman"/>
                <w:sz w:val="28"/>
                <w:szCs w:val="28"/>
                <w:lang w:bidi="lo-LA"/>
              </w:rPr>
              <w:t>a</w:t>
            </w:r>
            <w:r w:rsidRPr="0035107F">
              <w:rPr>
                <w:rFonts w:ascii="Times New Roman" w:eastAsia="Times New Roman" w:hAnsi="Times New Roman"/>
                <w:sz w:val="28"/>
                <w:szCs w:val="28"/>
                <w:lang w:bidi="lo-LA"/>
              </w:rPr>
              <w:t xml:space="preserve"> rīkojumu Nr.5 izveidotās darba grupas “Darba grupas medicīnisko ierīču racionāla ģeogrāfiskā izvietojuma noteikšanai un pieejamības uzlabošanai” ziņojumā minēto tehnoloģiju izvērtējum</w:t>
            </w:r>
            <w:r>
              <w:rPr>
                <w:rFonts w:ascii="Times New Roman" w:eastAsia="Times New Roman" w:hAnsi="Times New Roman"/>
                <w:sz w:val="28"/>
                <w:szCs w:val="28"/>
                <w:lang w:bidi="lo-LA"/>
              </w:rPr>
              <w:t>am, ja attiecināms</w:t>
            </w:r>
          </w:p>
        </w:tc>
      </w:tr>
    </w:tbl>
    <w:p w14:paraId="696D32B4" w14:textId="02FCF0CE" w:rsidR="00647193" w:rsidRDefault="00647193" w:rsidP="001450BC"/>
    <w:sectPr w:rsidR="00647193" w:rsidSect="001E744F">
      <w:headerReference w:type="even" r:id="rId8"/>
      <w:headerReference w:type="default" r:id="rId9"/>
      <w:headerReference w:type="first" r:id="rId10"/>
      <w:pgSz w:w="16838" w:h="11906" w:orient="landscape" w:code="9"/>
      <w:pgMar w:top="1701" w:right="1418"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2E64" w14:textId="77777777" w:rsidR="003B4652" w:rsidRDefault="003B4652">
      <w:pPr>
        <w:spacing w:after="0" w:line="240" w:lineRule="auto"/>
      </w:pPr>
      <w:r>
        <w:separator/>
      </w:r>
    </w:p>
  </w:endnote>
  <w:endnote w:type="continuationSeparator" w:id="0">
    <w:p w14:paraId="6954208C" w14:textId="77777777" w:rsidR="003B4652" w:rsidRDefault="003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EA6AE" w14:textId="77777777" w:rsidR="001E744F" w:rsidRDefault="003B4652">
      <w:pPr>
        <w:spacing w:after="0" w:line="240" w:lineRule="auto"/>
      </w:pPr>
      <w:r>
        <w:separator/>
      </w:r>
    </w:p>
  </w:footnote>
  <w:footnote w:type="continuationSeparator" w:id="0">
    <w:p w14:paraId="4631B9B6" w14:textId="77777777" w:rsidR="001E744F" w:rsidRDefault="003B4652">
      <w:pPr>
        <w:spacing w:after="0" w:line="240" w:lineRule="auto"/>
      </w:pPr>
      <w:r>
        <w:continuationSeparator/>
      </w:r>
    </w:p>
  </w:footnote>
  <w:footnote w:id="1">
    <w:p w14:paraId="6A8E2722" w14:textId="77777777" w:rsidR="001E744F" w:rsidRPr="0012579D" w:rsidRDefault="003B4652" w:rsidP="001E744F">
      <w:pPr>
        <w:pStyle w:val="Vresteksts"/>
        <w:rPr>
          <w:lang w:val="lv-LV"/>
        </w:rPr>
      </w:pPr>
      <w:r w:rsidRPr="00E854D6">
        <w:rPr>
          <w:rStyle w:val="Vresatsauce"/>
        </w:rPr>
        <w:footnoteRef/>
      </w:r>
      <w:r w:rsidRPr="005F13EE">
        <w:rPr>
          <w:lang w:val="lv-LV"/>
        </w:rPr>
        <w:t xml:space="preserve"> </w:t>
      </w:r>
      <w:r w:rsidRPr="00E854D6">
        <w:rPr>
          <w:lang w:val="lv-LV"/>
        </w:rPr>
        <w:t>Izņemot gadījumus, ka medicīnas tehnoloģija ir noteikta obligātajās prasībās, tomēr nenodrošina 70% noslodzi.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3B4652"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4A89E7EC" w:rsidR="001450BC" w:rsidRPr="00E043BD" w:rsidRDefault="003B4652"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AF33A2">
      <w:rPr>
        <w:rFonts w:ascii="Times New Roman" w:hAnsi="Times New Roman"/>
        <w:sz w:val="24"/>
        <w:szCs w:val="24"/>
      </w:rPr>
      <w:t xml:space="preserve"> </w:t>
    </w:r>
    <w:r w:rsidR="004800A8">
      <w:rPr>
        <w:rFonts w:ascii="Times New Roman" w:hAnsi="Times New Roman"/>
        <w:sz w:val="24"/>
        <w:szCs w:val="24"/>
      </w:rPr>
      <w:t>N</w:t>
    </w:r>
    <w:r w:rsidR="00AF33A2">
      <w:rPr>
        <w:rFonts w:ascii="Times New Roman" w:hAnsi="Times New Roman"/>
        <w:sz w:val="24"/>
        <w:szCs w:val="24"/>
      </w:rPr>
      <w:t>r.2</w:t>
    </w:r>
  </w:p>
  <w:p w14:paraId="00518E93" w14:textId="759F63EE" w:rsidR="001450BC" w:rsidRDefault="003B4652"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3B4652"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84988"/>
    <w:multiLevelType w:val="multilevel"/>
    <w:tmpl w:val="73CCE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4264463"/>
    <w:multiLevelType w:val="hybridMultilevel"/>
    <w:tmpl w:val="BFAEFB6C"/>
    <w:lvl w:ilvl="0" w:tplc="E37ED428">
      <w:start w:val="1"/>
      <w:numFmt w:val="decimal"/>
      <w:lvlText w:val="%1."/>
      <w:lvlJc w:val="left"/>
      <w:pPr>
        <w:ind w:left="720" w:hanging="360"/>
      </w:pPr>
      <w:rPr>
        <w:rFonts w:hint="default"/>
      </w:rPr>
    </w:lvl>
    <w:lvl w:ilvl="1" w:tplc="868C20E0" w:tentative="1">
      <w:start w:val="1"/>
      <w:numFmt w:val="lowerLetter"/>
      <w:lvlText w:val="%2."/>
      <w:lvlJc w:val="left"/>
      <w:pPr>
        <w:ind w:left="1440" w:hanging="360"/>
      </w:pPr>
    </w:lvl>
    <w:lvl w:ilvl="2" w:tplc="A33804F4" w:tentative="1">
      <w:start w:val="1"/>
      <w:numFmt w:val="lowerRoman"/>
      <w:lvlText w:val="%3."/>
      <w:lvlJc w:val="right"/>
      <w:pPr>
        <w:ind w:left="2160" w:hanging="180"/>
      </w:pPr>
    </w:lvl>
    <w:lvl w:ilvl="3" w:tplc="627A46FA" w:tentative="1">
      <w:start w:val="1"/>
      <w:numFmt w:val="decimal"/>
      <w:lvlText w:val="%4."/>
      <w:lvlJc w:val="left"/>
      <w:pPr>
        <w:ind w:left="2880" w:hanging="360"/>
      </w:pPr>
    </w:lvl>
    <w:lvl w:ilvl="4" w:tplc="4D0C215C" w:tentative="1">
      <w:start w:val="1"/>
      <w:numFmt w:val="lowerLetter"/>
      <w:lvlText w:val="%5."/>
      <w:lvlJc w:val="left"/>
      <w:pPr>
        <w:ind w:left="3600" w:hanging="360"/>
      </w:pPr>
    </w:lvl>
    <w:lvl w:ilvl="5" w:tplc="2E560434" w:tentative="1">
      <w:start w:val="1"/>
      <w:numFmt w:val="lowerRoman"/>
      <w:lvlText w:val="%6."/>
      <w:lvlJc w:val="right"/>
      <w:pPr>
        <w:ind w:left="4320" w:hanging="180"/>
      </w:pPr>
    </w:lvl>
    <w:lvl w:ilvl="6" w:tplc="7CDC8E86" w:tentative="1">
      <w:start w:val="1"/>
      <w:numFmt w:val="decimal"/>
      <w:lvlText w:val="%7."/>
      <w:lvlJc w:val="left"/>
      <w:pPr>
        <w:ind w:left="5040" w:hanging="360"/>
      </w:pPr>
    </w:lvl>
    <w:lvl w:ilvl="7" w:tplc="2E3C3DE6" w:tentative="1">
      <w:start w:val="1"/>
      <w:numFmt w:val="lowerLetter"/>
      <w:lvlText w:val="%8."/>
      <w:lvlJc w:val="left"/>
      <w:pPr>
        <w:ind w:left="5760" w:hanging="360"/>
      </w:pPr>
    </w:lvl>
    <w:lvl w:ilvl="8" w:tplc="1FF8C4B6" w:tentative="1">
      <w:start w:val="1"/>
      <w:numFmt w:val="lowerRoman"/>
      <w:lvlText w:val="%9."/>
      <w:lvlJc w:val="right"/>
      <w:pPr>
        <w:ind w:left="6480" w:hanging="180"/>
      </w:pPr>
    </w:lvl>
  </w:abstractNum>
  <w:num w:numId="1" w16cid:durableId="1837962249">
    <w:abstractNumId w:val="1"/>
  </w:num>
  <w:num w:numId="2" w16cid:durableId="209442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76969"/>
    <w:rsid w:val="00076AA3"/>
    <w:rsid w:val="00084361"/>
    <w:rsid w:val="00091DD9"/>
    <w:rsid w:val="00094405"/>
    <w:rsid w:val="00097F9D"/>
    <w:rsid w:val="000A1011"/>
    <w:rsid w:val="000A31A5"/>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579D"/>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E744F"/>
    <w:rsid w:val="001F2B8D"/>
    <w:rsid w:val="0020352E"/>
    <w:rsid w:val="002057F9"/>
    <w:rsid w:val="00212DB7"/>
    <w:rsid w:val="00224AC9"/>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107F"/>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4652"/>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00A8"/>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13EE"/>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C77F9"/>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33A2"/>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54D6"/>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C6EAC"/>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table" w:customStyle="1" w:styleId="TableGrid1">
    <w:name w:val="Table Grid1"/>
    <w:basedOn w:val="Parastatabula"/>
    <w:next w:val="Reatabula"/>
    <w:rsid w:val="001E74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unhideWhenUsed/>
    <w:rsid w:val="001E744F"/>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semiHidden/>
    <w:rsid w:val="001E744F"/>
    <w:rPr>
      <w:rFonts w:ascii="Times New Roman" w:eastAsia="Times New Roman" w:hAnsi="Times New Roman" w:cs="Times New Roman"/>
      <w:sz w:val="20"/>
      <w:szCs w:val="20"/>
      <w:lang w:val="en-US"/>
    </w:rPr>
  </w:style>
  <w:style w:type="character" w:styleId="Vresatsauce">
    <w:name w:val="footnote reference"/>
    <w:basedOn w:val="Noklusjumarindkopasfonts"/>
    <w:semiHidden/>
    <w:unhideWhenUsed/>
    <w:rsid w:val="001E7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1223</Characters>
  <Application>Microsoft Office Word</Application>
  <DocSecurity>4</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Indra Matisone</cp:lastModifiedBy>
  <cp:revision>2</cp:revision>
  <dcterms:created xsi:type="dcterms:W3CDTF">2024-04-03T08:22:00Z</dcterms:created>
  <dcterms:modified xsi:type="dcterms:W3CDTF">2024-04-03T08:22:00Z</dcterms:modified>
</cp:coreProperties>
</file>