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9E6" w:rsidRPr="00950166" w:rsidRDefault="006A79E6" w:rsidP="00950166">
      <w:pPr>
        <w:spacing w:after="0" w:line="240" w:lineRule="auto"/>
        <w:ind w:left="8080"/>
        <w:jc w:val="both"/>
        <w:rPr>
          <w:rFonts w:ascii="Times New Roman" w:hAnsi="Times New Roman"/>
          <w:sz w:val="24"/>
          <w:szCs w:val="24"/>
          <w:lang w:val="lv-LV"/>
        </w:rPr>
      </w:pPr>
      <w:r w:rsidRPr="00950166">
        <w:rPr>
          <w:rFonts w:ascii="Times New Roman" w:hAnsi="Times New Roman"/>
          <w:sz w:val="24"/>
          <w:szCs w:val="24"/>
          <w:lang w:val="lv-LV"/>
        </w:rPr>
        <w:t>4.pielikums</w:t>
      </w:r>
      <w:r w:rsidR="00771040" w:rsidRPr="00950166">
        <w:rPr>
          <w:rFonts w:ascii="Times New Roman" w:hAnsi="Times New Roman"/>
          <w:sz w:val="24"/>
          <w:szCs w:val="24"/>
          <w:lang w:val="lv-LV"/>
        </w:rPr>
        <w:t xml:space="preserve"> </w:t>
      </w:r>
      <w:r w:rsidR="00771040" w:rsidRPr="00950166">
        <w:rPr>
          <w:rFonts w:ascii="Times New Roman" w:hAnsi="Times New Roman"/>
          <w:sz w:val="24"/>
          <w:szCs w:val="24"/>
        </w:rPr>
        <w:t>Koncepcijas projektam par veselības aprūpes sistēmas finansēšanas modeli</w:t>
      </w:r>
      <w:bookmarkStart w:id="0" w:name="OLE_LINK1"/>
      <w:bookmarkStart w:id="1" w:name="OLE_LINK2"/>
    </w:p>
    <w:p w:rsidR="006A79E6" w:rsidRPr="00950166" w:rsidRDefault="006A79E6" w:rsidP="0071164B">
      <w:pPr>
        <w:spacing w:after="0" w:line="240" w:lineRule="auto"/>
        <w:jc w:val="center"/>
        <w:rPr>
          <w:rFonts w:ascii="Times New Roman" w:hAnsi="Times New Roman"/>
          <w:b/>
          <w:bCs/>
          <w:sz w:val="24"/>
          <w:szCs w:val="24"/>
          <w:lang w:val="lv-LV"/>
        </w:rPr>
      </w:pPr>
    </w:p>
    <w:p w:rsidR="006A79E6" w:rsidRPr="00950166" w:rsidRDefault="006A79E6" w:rsidP="00A515ED">
      <w:pPr>
        <w:spacing w:after="0" w:line="240" w:lineRule="auto"/>
        <w:jc w:val="center"/>
        <w:rPr>
          <w:rFonts w:ascii="Times New Roman" w:hAnsi="Times New Roman"/>
          <w:b/>
          <w:bCs/>
          <w:sz w:val="24"/>
          <w:szCs w:val="24"/>
          <w:lang w:val="lv-LV"/>
        </w:rPr>
      </w:pPr>
      <w:bookmarkStart w:id="2" w:name="OLE_LINK3"/>
      <w:bookmarkStart w:id="3" w:name="OLE_LINK4"/>
      <w:r w:rsidRPr="00950166">
        <w:rPr>
          <w:rFonts w:ascii="Times New Roman" w:hAnsi="Times New Roman"/>
          <w:b/>
          <w:bCs/>
          <w:sz w:val="24"/>
          <w:szCs w:val="24"/>
          <w:lang w:val="lv-LV"/>
        </w:rPr>
        <w:t>Koncepcijas projekta par veselības aprūpes sistēmas finansēšanas modeli</w:t>
      </w:r>
      <w:bookmarkEnd w:id="0"/>
      <w:bookmarkEnd w:id="1"/>
      <w:r w:rsidRPr="00950166">
        <w:rPr>
          <w:rFonts w:ascii="Times New Roman" w:hAnsi="Times New Roman"/>
          <w:b/>
          <w:bCs/>
          <w:sz w:val="24"/>
          <w:szCs w:val="24"/>
          <w:lang w:val="lv-LV"/>
        </w:rPr>
        <w:t xml:space="preserve"> </w:t>
      </w:r>
    </w:p>
    <w:p w:rsidR="006A79E6" w:rsidRPr="00950166" w:rsidRDefault="006A79E6" w:rsidP="00A515ED">
      <w:pPr>
        <w:spacing w:after="0" w:line="240" w:lineRule="auto"/>
        <w:jc w:val="center"/>
        <w:rPr>
          <w:rFonts w:ascii="Times New Roman" w:hAnsi="Times New Roman"/>
          <w:b/>
          <w:bCs/>
          <w:sz w:val="24"/>
          <w:szCs w:val="24"/>
          <w:lang w:val="lv-LV"/>
        </w:rPr>
      </w:pPr>
      <w:r w:rsidRPr="00950166">
        <w:rPr>
          <w:rFonts w:ascii="Times New Roman" w:hAnsi="Times New Roman"/>
          <w:b/>
          <w:bCs/>
          <w:sz w:val="24"/>
          <w:szCs w:val="24"/>
          <w:lang w:val="lv-LV"/>
        </w:rPr>
        <w:t>ietekme uz valsts un pašvaldību budžetiem 1.modelim</w:t>
      </w:r>
      <w:bookmarkEnd w:id="2"/>
      <w:bookmarkEnd w:id="3"/>
    </w:p>
    <w:p w:rsidR="006A79E6" w:rsidRPr="00950166" w:rsidRDefault="006A79E6" w:rsidP="00A515ED">
      <w:pPr>
        <w:spacing w:after="0" w:line="240" w:lineRule="auto"/>
        <w:jc w:val="center"/>
        <w:rPr>
          <w:rFonts w:ascii="Times New Roman" w:hAnsi="Times New Roman"/>
          <w:b/>
          <w:bCs/>
          <w:sz w:val="24"/>
          <w:szCs w:val="24"/>
          <w:lang w:val="lv-LV"/>
        </w:rPr>
      </w:pPr>
    </w:p>
    <w:p w:rsidR="006A79E6" w:rsidRPr="00950166" w:rsidRDefault="006A79E6" w:rsidP="00A515ED">
      <w:pPr>
        <w:spacing w:after="0" w:line="240" w:lineRule="auto"/>
        <w:jc w:val="center"/>
        <w:rPr>
          <w:rFonts w:ascii="Times New Roman" w:hAnsi="Times New Roman"/>
          <w:b/>
          <w:bCs/>
          <w:sz w:val="24"/>
          <w:szCs w:val="24"/>
          <w:lang w:val="lv-LV"/>
        </w:rPr>
      </w:pPr>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0A0"/>
      </w:tblPr>
      <w:tblGrid>
        <w:gridCol w:w="5449"/>
        <w:gridCol w:w="2061"/>
        <w:gridCol w:w="1686"/>
        <w:gridCol w:w="1686"/>
        <w:gridCol w:w="1869"/>
      </w:tblGrid>
      <w:tr w:rsidR="006A79E6" w:rsidRPr="00950166" w:rsidTr="00D01996">
        <w:trPr>
          <w:trHeight w:val="450"/>
        </w:trPr>
        <w:tc>
          <w:tcPr>
            <w:tcW w:w="2137" w:type="pct"/>
            <w:vMerge w:val="restart"/>
            <w:tcBorders>
              <w:top w:val="single" w:sz="4" w:space="0" w:color="auto"/>
              <w:left w:val="single" w:sz="4" w:space="0" w:color="auto"/>
              <w:bottom w:val="single" w:sz="4" w:space="0" w:color="auto"/>
              <w:right w:val="single" w:sz="4" w:space="0" w:color="auto"/>
            </w:tcBorders>
            <w:vAlign w:val="center"/>
          </w:tcPr>
          <w:p w:rsidR="006A79E6" w:rsidRPr="00950166" w:rsidRDefault="006A79E6" w:rsidP="00D47524">
            <w:pPr>
              <w:spacing w:after="0" w:line="360" w:lineRule="auto"/>
              <w:rPr>
                <w:rFonts w:ascii="Times New Roman" w:hAnsi="Times New Roman"/>
                <w:sz w:val="24"/>
                <w:szCs w:val="24"/>
                <w:lang w:val="lv-LV"/>
              </w:rPr>
            </w:pPr>
            <w:r w:rsidRPr="00950166">
              <w:rPr>
                <w:rFonts w:ascii="Times New Roman" w:hAnsi="Times New Roman"/>
                <w:sz w:val="24"/>
                <w:szCs w:val="24"/>
                <w:lang w:val="lv-LV"/>
              </w:rPr>
              <w:t> </w:t>
            </w:r>
          </w:p>
        </w:tc>
        <w:tc>
          <w:tcPr>
            <w:tcW w:w="808" w:type="pct"/>
            <w:vMerge w:val="restart"/>
            <w:tcBorders>
              <w:top w:val="single" w:sz="4" w:space="0" w:color="auto"/>
              <w:left w:val="single" w:sz="4" w:space="0" w:color="auto"/>
              <w:bottom w:val="single" w:sz="4" w:space="0" w:color="auto"/>
              <w:right w:val="single" w:sz="4" w:space="0" w:color="auto"/>
            </w:tcBorders>
            <w:vAlign w:val="center"/>
          </w:tcPr>
          <w:p w:rsidR="006A79E6" w:rsidRPr="00950166" w:rsidRDefault="006A79E6" w:rsidP="00D47524">
            <w:pPr>
              <w:spacing w:before="100" w:beforeAutospacing="1" w:line="360" w:lineRule="auto"/>
              <w:jc w:val="center"/>
              <w:rPr>
                <w:rFonts w:ascii="Times New Roman" w:hAnsi="Times New Roman"/>
                <w:sz w:val="24"/>
                <w:szCs w:val="24"/>
                <w:lang w:val="lv-LV"/>
              </w:rPr>
            </w:pPr>
            <w:r w:rsidRPr="00950166">
              <w:rPr>
                <w:rFonts w:ascii="Times New Roman" w:hAnsi="Times New Roman"/>
                <w:sz w:val="24"/>
                <w:szCs w:val="24"/>
                <w:lang w:val="lv-LV"/>
              </w:rPr>
              <w:t>2013.gads</w:t>
            </w:r>
          </w:p>
        </w:tc>
        <w:tc>
          <w:tcPr>
            <w:tcW w:w="2055" w:type="pct"/>
            <w:gridSpan w:val="3"/>
            <w:tcBorders>
              <w:top w:val="single" w:sz="4" w:space="0" w:color="auto"/>
              <w:left w:val="single" w:sz="4" w:space="0" w:color="auto"/>
              <w:bottom w:val="single" w:sz="4" w:space="0" w:color="auto"/>
              <w:right w:val="single" w:sz="4" w:space="0" w:color="auto"/>
            </w:tcBorders>
            <w:vAlign w:val="center"/>
          </w:tcPr>
          <w:p w:rsidR="006A79E6" w:rsidRPr="00950166" w:rsidRDefault="006A79E6" w:rsidP="00D01996">
            <w:pPr>
              <w:spacing w:before="100" w:beforeAutospacing="1" w:after="0" w:line="360" w:lineRule="auto"/>
              <w:jc w:val="center"/>
              <w:rPr>
                <w:rFonts w:ascii="Times New Roman" w:hAnsi="Times New Roman"/>
                <w:sz w:val="24"/>
                <w:szCs w:val="24"/>
                <w:lang w:val="lv-LV"/>
              </w:rPr>
            </w:pPr>
            <w:r w:rsidRPr="00950166">
              <w:rPr>
                <w:rFonts w:ascii="Times New Roman" w:hAnsi="Times New Roman"/>
                <w:sz w:val="24"/>
                <w:szCs w:val="24"/>
                <w:lang w:val="lv-LV"/>
              </w:rPr>
              <w:t>Turpmākie trīs gadi (tūkst</w:t>
            </w:r>
            <w:smartTag w:uri="schemas-tilde-lv/tildestengine" w:element="currency2">
              <w:smartTagPr>
                <w:attr w:name="currency_text" w:val="latu"/>
                <w:attr w:name="currency_value" w:val="."/>
                <w:attr w:name="currency_key" w:val="LVL"/>
                <w:attr w:name="currency_id" w:val="48"/>
              </w:smartTagPr>
              <w:r w:rsidRPr="00950166">
                <w:rPr>
                  <w:rFonts w:ascii="Times New Roman" w:hAnsi="Times New Roman"/>
                  <w:sz w:val="24"/>
                  <w:szCs w:val="24"/>
                  <w:lang w:val="lv-LV"/>
                </w:rPr>
                <w:t>. latu</w:t>
              </w:r>
            </w:smartTag>
            <w:r w:rsidRPr="00950166">
              <w:rPr>
                <w:rFonts w:ascii="Times New Roman" w:hAnsi="Times New Roman"/>
                <w:sz w:val="24"/>
                <w:szCs w:val="24"/>
                <w:lang w:val="lv-LV"/>
              </w:rPr>
              <w:t>)</w:t>
            </w:r>
          </w:p>
        </w:tc>
      </w:tr>
      <w:tr w:rsidR="006A79E6" w:rsidRPr="00950166" w:rsidTr="00D71346">
        <w:trPr>
          <w:trHeight w:val="450"/>
        </w:trPr>
        <w:tc>
          <w:tcPr>
            <w:tcW w:w="2137" w:type="pct"/>
            <w:vMerge/>
            <w:tcBorders>
              <w:top w:val="single" w:sz="4" w:space="0" w:color="auto"/>
              <w:bottom w:val="single" w:sz="6" w:space="0" w:color="auto"/>
              <w:right w:val="single" w:sz="6" w:space="0" w:color="auto"/>
            </w:tcBorders>
            <w:vAlign w:val="center"/>
          </w:tcPr>
          <w:p w:rsidR="006A79E6" w:rsidRPr="00950166" w:rsidRDefault="006A79E6" w:rsidP="00D47524">
            <w:pPr>
              <w:spacing w:after="0" w:line="240" w:lineRule="auto"/>
              <w:rPr>
                <w:rFonts w:ascii="Times New Roman" w:hAnsi="Times New Roman"/>
                <w:sz w:val="24"/>
                <w:szCs w:val="24"/>
                <w:lang w:val="lv-LV"/>
              </w:rPr>
            </w:pPr>
          </w:p>
        </w:tc>
        <w:tc>
          <w:tcPr>
            <w:tcW w:w="808" w:type="pct"/>
            <w:vMerge/>
            <w:tcBorders>
              <w:top w:val="single" w:sz="4" w:space="0" w:color="auto"/>
              <w:left w:val="single" w:sz="6" w:space="0" w:color="auto"/>
              <w:bottom w:val="single" w:sz="6" w:space="0" w:color="auto"/>
              <w:right w:val="single" w:sz="4" w:space="0" w:color="auto"/>
            </w:tcBorders>
            <w:vAlign w:val="center"/>
          </w:tcPr>
          <w:p w:rsidR="006A79E6" w:rsidRPr="00950166" w:rsidRDefault="006A79E6" w:rsidP="00D47524">
            <w:pPr>
              <w:spacing w:before="100" w:beforeAutospacing="1" w:after="0" w:line="360" w:lineRule="auto"/>
              <w:jc w:val="center"/>
              <w:rPr>
                <w:rFonts w:ascii="Times New Roman" w:hAnsi="Times New Roman"/>
                <w:sz w:val="24"/>
                <w:szCs w:val="24"/>
                <w:lang w:val="lv-LV"/>
              </w:rPr>
            </w:pPr>
          </w:p>
        </w:tc>
        <w:tc>
          <w:tcPr>
            <w:tcW w:w="661" w:type="pct"/>
            <w:tcBorders>
              <w:top w:val="single" w:sz="4" w:space="0" w:color="auto"/>
              <w:left w:val="single" w:sz="4" w:space="0" w:color="auto"/>
              <w:bottom w:val="single" w:sz="4" w:space="0" w:color="auto"/>
              <w:right w:val="single" w:sz="4" w:space="0" w:color="auto"/>
            </w:tcBorders>
            <w:vAlign w:val="center"/>
          </w:tcPr>
          <w:p w:rsidR="006A79E6" w:rsidRPr="00950166" w:rsidRDefault="006A79E6" w:rsidP="00766BAF">
            <w:pPr>
              <w:spacing w:before="100" w:beforeAutospacing="1" w:after="0" w:line="360" w:lineRule="auto"/>
              <w:jc w:val="center"/>
              <w:rPr>
                <w:rFonts w:ascii="Times New Roman" w:hAnsi="Times New Roman"/>
                <w:sz w:val="24"/>
                <w:szCs w:val="24"/>
                <w:lang w:val="lv-LV"/>
              </w:rPr>
            </w:pPr>
            <w:r w:rsidRPr="00950166">
              <w:rPr>
                <w:rFonts w:ascii="Times New Roman" w:hAnsi="Times New Roman"/>
                <w:sz w:val="24"/>
                <w:szCs w:val="24"/>
                <w:lang w:val="lv-LV"/>
              </w:rPr>
              <w:t>2014.gads</w:t>
            </w:r>
          </w:p>
        </w:tc>
        <w:tc>
          <w:tcPr>
            <w:tcW w:w="661" w:type="pct"/>
            <w:tcBorders>
              <w:top w:val="single" w:sz="4" w:space="0" w:color="auto"/>
              <w:left w:val="single" w:sz="4" w:space="0" w:color="auto"/>
              <w:bottom w:val="single" w:sz="6" w:space="0" w:color="auto"/>
              <w:right w:val="single" w:sz="6" w:space="0" w:color="auto"/>
            </w:tcBorders>
            <w:vAlign w:val="center"/>
          </w:tcPr>
          <w:p w:rsidR="006A79E6" w:rsidRPr="00950166" w:rsidRDefault="006A79E6" w:rsidP="00766BAF">
            <w:pPr>
              <w:spacing w:before="100" w:beforeAutospacing="1" w:after="0" w:line="360" w:lineRule="auto"/>
              <w:jc w:val="center"/>
              <w:rPr>
                <w:rFonts w:ascii="Times New Roman" w:hAnsi="Times New Roman"/>
                <w:sz w:val="24"/>
                <w:szCs w:val="24"/>
                <w:lang w:val="lv-LV"/>
              </w:rPr>
            </w:pPr>
            <w:r w:rsidRPr="00950166">
              <w:rPr>
                <w:rFonts w:ascii="Times New Roman" w:hAnsi="Times New Roman"/>
                <w:sz w:val="24"/>
                <w:szCs w:val="24"/>
                <w:lang w:val="lv-LV"/>
              </w:rPr>
              <w:t>2015.gads</w:t>
            </w:r>
          </w:p>
        </w:tc>
        <w:tc>
          <w:tcPr>
            <w:tcW w:w="733" w:type="pct"/>
            <w:tcBorders>
              <w:top w:val="single" w:sz="4" w:space="0" w:color="auto"/>
              <w:left w:val="single" w:sz="6" w:space="0" w:color="auto"/>
              <w:bottom w:val="single" w:sz="6" w:space="0" w:color="auto"/>
            </w:tcBorders>
            <w:vAlign w:val="center"/>
          </w:tcPr>
          <w:p w:rsidR="006A79E6" w:rsidRPr="00950166" w:rsidRDefault="006A79E6" w:rsidP="00D47524">
            <w:pPr>
              <w:spacing w:before="100" w:beforeAutospacing="1" w:after="0" w:line="360" w:lineRule="auto"/>
              <w:jc w:val="center"/>
              <w:rPr>
                <w:rFonts w:ascii="Times New Roman" w:hAnsi="Times New Roman"/>
                <w:sz w:val="24"/>
                <w:szCs w:val="24"/>
                <w:lang w:val="lv-LV"/>
              </w:rPr>
            </w:pPr>
            <w:r w:rsidRPr="00950166">
              <w:rPr>
                <w:rFonts w:ascii="Times New Roman" w:hAnsi="Times New Roman"/>
                <w:sz w:val="24"/>
                <w:szCs w:val="24"/>
                <w:lang w:val="lv-LV"/>
              </w:rPr>
              <w:t>2016.gads</w:t>
            </w:r>
          </w:p>
        </w:tc>
      </w:tr>
      <w:tr w:rsidR="006A79E6" w:rsidRPr="00950166" w:rsidTr="00D71346">
        <w:trPr>
          <w:trHeight w:val="255"/>
        </w:trPr>
        <w:tc>
          <w:tcPr>
            <w:tcW w:w="2137" w:type="pct"/>
            <w:tcBorders>
              <w:top w:val="single" w:sz="6" w:space="0" w:color="auto"/>
              <w:bottom w:val="single" w:sz="6" w:space="0" w:color="auto"/>
              <w:right w:val="single" w:sz="6" w:space="0" w:color="auto"/>
            </w:tcBorders>
          </w:tcPr>
          <w:p w:rsidR="006A79E6" w:rsidRPr="00950166" w:rsidRDefault="006A79E6" w:rsidP="004A3C66">
            <w:pPr>
              <w:spacing w:before="100" w:beforeAutospacing="1" w:after="0" w:line="60" w:lineRule="atLeast"/>
              <w:rPr>
                <w:rFonts w:ascii="Times New Roman" w:hAnsi="Times New Roman"/>
                <w:sz w:val="24"/>
                <w:szCs w:val="24"/>
                <w:lang w:val="lv-LV"/>
              </w:rPr>
            </w:pPr>
            <w:r w:rsidRPr="00950166">
              <w:rPr>
                <w:rFonts w:ascii="Times New Roman" w:hAnsi="Times New Roman"/>
                <w:sz w:val="24"/>
                <w:szCs w:val="24"/>
                <w:lang w:val="lv-LV"/>
              </w:rPr>
              <w:t>Kopējās izmaiņas budžeta ieņēmumos t.sk.:</w:t>
            </w:r>
          </w:p>
        </w:tc>
        <w:tc>
          <w:tcPr>
            <w:tcW w:w="808" w:type="pct"/>
            <w:tcBorders>
              <w:top w:val="single" w:sz="6" w:space="0" w:color="auto"/>
              <w:left w:val="single" w:sz="6" w:space="0" w:color="auto"/>
              <w:bottom w:val="single" w:sz="6" w:space="0" w:color="auto"/>
              <w:right w:val="single" w:sz="6" w:space="0" w:color="auto"/>
            </w:tcBorders>
            <w:vAlign w:val="center"/>
          </w:tcPr>
          <w:p w:rsidR="006A79E6" w:rsidRPr="00950166" w:rsidRDefault="006A79E6" w:rsidP="00564CCC">
            <w:pPr>
              <w:spacing w:before="100" w:beforeAutospacing="1"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c>
          <w:tcPr>
            <w:tcW w:w="661" w:type="pct"/>
            <w:tcBorders>
              <w:top w:val="single" w:sz="4" w:space="0" w:color="auto"/>
              <w:left w:val="single" w:sz="6" w:space="0" w:color="auto"/>
              <w:bottom w:val="single" w:sz="6" w:space="0" w:color="auto"/>
              <w:right w:val="single" w:sz="6" w:space="0" w:color="auto"/>
            </w:tcBorders>
            <w:vAlign w:val="center"/>
          </w:tcPr>
          <w:p w:rsidR="006A79E6" w:rsidRPr="00950166" w:rsidRDefault="006A79E6" w:rsidP="00766BAF">
            <w:pPr>
              <w:spacing w:before="100" w:beforeAutospacing="1"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c>
          <w:tcPr>
            <w:tcW w:w="661" w:type="pct"/>
            <w:tcBorders>
              <w:top w:val="single" w:sz="6" w:space="0" w:color="auto"/>
              <w:left w:val="single" w:sz="6" w:space="0" w:color="auto"/>
              <w:bottom w:val="single" w:sz="6" w:space="0" w:color="auto"/>
              <w:right w:val="single" w:sz="6" w:space="0" w:color="auto"/>
            </w:tcBorders>
            <w:vAlign w:val="center"/>
          </w:tcPr>
          <w:p w:rsidR="006A79E6" w:rsidRPr="00950166" w:rsidRDefault="006A79E6" w:rsidP="00766BAF">
            <w:pPr>
              <w:spacing w:before="100" w:beforeAutospacing="1"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c>
          <w:tcPr>
            <w:tcW w:w="733" w:type="pct"/>
            <w:tcBorders>
              <w:top w:val="single" w:sz="6" w:space="0" w:color="auto"/>
              <w:left w:val="single" w:sz="6" w:space="0" w:color="auto"/>
              <w:bottom w:val="single" w:sz="6" w:space="0" w:color="auto"/>
            </w:tcBorders>
            <w:vAlign w:val="center"/>
          </w:tcPr>
          <w:p w:rsidR="006A79E6" w:rsidRPr="00950166" w:rsidRDefault="006A79E6" w:rsidP="00564CCC">
            <w:pPr>
              <w:spacing w:before="100" w:beforeAutospacing="1"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r>
      <w:tr w:rsidR="006A79E6" w:rsidRPr="00950166" w:rsidTr="00D01996">
        <w:trPr>
          <w:trHeight w:val="60"/>
        </w:trPr>
        <w:tc>
          <w:tcPr>
            <w:tcW w:w="2137" w:type="pct"/>
            <w:tcBorders>
              <w:top w:val="single" w:sz="6" w:space="0" w:color="auto"/>
              <w:bottom w:val="single" w:sz="6" w:space="0" w:color="auto"/>
              <w:right w:val="single" w:sz="6" w:space="0" w:color="auto"/>
            </w:tcBorders>
            <w:vAlign w:val="center"/>
          </w:tcPr>
          <w:p w:rsidR="006A79E6" w:rsidRPr="00950166" w:rsidRDefault="006A79E6" w:rsidP="00D47524">
            <w:pPr>
              <w:spacing w:before="100" w:beforeAutospacing="1" w:after="0" w:line="60" w:lineRule="atLeast"/>
              <w:rPr>
                <w:rFonts w:ascii="Times New Roman" w:hAnsi="Times New Roman"/>
                <w:sz w:val="24"/>
                <w:szCs w:val="24"/>
                <w:lang w:val="lv-LV"/>
              </w:rPr>
            </w:pPr>
            <w:r w:rsidRPr="00950166">
              <w:rPr>
                <w:rFonts w:ascii="Times New Roman" w:hAnsi="Times New Roman"/>
                <w:sz w:val="24"/>
                <w:szCs w:val="24"/>
                <w:lang w:val="lv-LV"/>
              </w:rPr>
              <w:t>Izmaiņas valsts budžeta ieņēmumos</w:t>
            </w:r>
          </w:p>
        </w:tc>
        <w:tc>
          <w:tcPr>
            <w:tcW w:w="808" w:type="pct"/>
            <w:tcBorders>
              <w:top w:val="single" w:sz="6" w:space="0" w:color="auto"/>
              <w:left w:val="single" w:sz="6" w:space="0" w:color="auto"/>
              <w:bottom w:val="single" w:sz="6" w:space="0" w:color="auto"/>
              <w:right w:val="single" w:sz="6" w:space="0" w:color="auto"/>
            </w:tcBorders>
          </w:tcPr>
          <w:p w:rsidR="006A79E6" w:rsidRPr="00950166" w:rsidRDefault="006A79E6" w:rsidP="006D5D35">
            <w:pPr>
              <w:spacing w:before="100" w:beforeAutospacing="1"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before="100" w:beforeAutospacing="1"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before="100" w:beforeAutospacing="1"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c>
          <w:tcPr>
            <w:tcW w:w="733" w:type="pct"/>
            <w:tcBorders>
              <w:top w:val="single" w:sz="6" w:space="0" w:color="auto"/>
              <w:left w:val="single" w:sz="6" w:space="0" w:color="auto"/>
              <w:bottom w:val="single" w:sz="6" w:space="0" w:color="auto"/>
            </w:tcBorders>
          </w:tcPr>
          <w:p w:rsidR="006A79E6" w:rsidRPr="00950166" w:rsidRDefault="006A79E6" w:rsidP="006D5D35">
            <w:pPr>
              <w:spacing w:before="100" w:beforeAutospacing="1"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r>
      <w:tr w:rsidR="006A79E6" w:rsidRPr="00950166" w:rsidTr="00D01996">
        <w:trPr>
          <w:trHeight w:val="60"/>
        </w:trPr>
        <w:tc>
          <w:tcPr>
            <w:tcW w:w="2137" w:type="pct"/>
            <w:tcBorders>
              <w:top w:val="single" w:sz="6" w:space="0" w:color="auto"/>
              <w:bottom w:val="single" w:sz="6" w:space="0" w:color="auto"/>
              <w:right w:val="single" w:sz="6" w:space="0" w:color="auto"/>
            </w:tcBorders>
          </w:tcPr>
          <w:p w:rsidR="006A79E6" w:rsidRPr="00950166" w:rsidRDefault="006A79E6" w:rsidP="00D47524">
            <w:pPr>
              <w:spacing w:before="100" w:beforeAutospacing="1" w:after="0" w:line="60" w:lineRule="atLeast"/>
              <w:rPr>
                <w:rFonts w:ascii="Times New Roman" w:hAnsi="Times New Roman"/>
                <w:sz w:val="24"/>
                <w:szCs w:val="24"/>
                <w:lang w:val="lv-LV"/>
              </w:rPr>
            </w:pPr>
            <w:r w:rsidRPr="00950166">
              <w:rPr>
                <w:rFonts w:ascii="Times New Roman" w:hAnsi="Times New Roman"/>
                <w:sz w:val="24"/>
                <w:szCs w:val="24"/>
                <w:lang w:val="lv-LV"/>
              </w:rPr>
              <w:t>Izmaiņas pašvaldību budžeta ieņēmumos</w:t>
            </w:r>
          </w:p>
        </w:tc>
        <w:tc>
          <w:tcPr>
            <w:tcW w:w="808" w:type="pct"/>
            <w:tcBorders>
              <w:top w:val="single" w:sz="6" w:space="0" w:color="auto"/>
              <w:left w:val="single" w:sz="6" w:space="0" w:color="auto"/>
              <w:bottom w:val="single" w:sz="6" w:space="0" w:color="auto"/>
              <w:right w:val="single" w:sz="6" w:space="0" w:color="auto"/>
            </w:tcBorders>
          </w:tcPr>
          <w:p w:rsidR="006A79E6" w:rsidRPr="00950166" w:rsidRDefault="006A79E6" w:rsidP="006D5D35">
            <w:pPr>
              <w:spacing w:before="100" w:beforeAutospacing="1"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before="100" w:beforeAutospacing="1"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before="100" w:beforeAutospacing="1"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c>
          <w:tcPr>
            <w:tcW w:w="733" w:type="pct"/>
            <w:tcBorders>
              <w:top w:val="single" w:sz="6" w:space="0" w:color="auto"/>
              <w:left w:val="single" w:sz="6" w:space="0" w:color="auto"/>
              <w:bottom w:val="single" w:sz="6" w:space="0" w:color="auto"/>
            </w:tcBorders>
          </w:tcPr>
          <w:p w:rsidR="006A79E6" w:rsidRPr="00950166" w:rsidRDefault="006A79E6" w:rsidP="006D5D35">
            <w:pPr>
              <w:spacing w:before="100" w:beforeAutospacing="1"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r>
      <w:tr w:rsidR="006A79E6" w:rsidRPr="00950166" w:rsidTr="00D01996">
        <w:trPr>
          <w:trHeight w:val="60"/>
        </w:trPr>
        <w:tc>
          <w:tcPr>
            <w:tcW w:w="2137" w:type="pct"/>
            <w:tcBorders>
              <w:top w:val="single" w:sz="6" w:space="0" w:color="auto"/>
              <w:bottom w:val="single" w:sz="6" w:space="0" w:color="auto"/>
              <w:right w:val="single" w:sz="6" w:space="0" w:color="auto"/>
            </w:tcBorders>
          </w:tcPr>
          <w:p w:rsidR="006A79E6" w:rsidRPr="00950166" w:rsidRDefault="006A79E6" w:rsidP="00D47524">
            <w:pPr>
              <w:spacing w:before="100" w:beforeAutospacing="1" w:after="0" w:line="60" w:lineRule="atLeast"/>
              <w:rPr>
                <w:rFonts w:ascii="Times New Roman" w:hAnsi="Times New Roman"/>
                <w:sz w:val="24"/>
                <w:szCs w:val="24"/>
                <w:lang w:val="lv-LV"/>
              </w:rPr>
            </w:pPr>
            <w:r w:rsidRPr="00950166">
              <w:rPr>
                <w:rFonts w:ascii="Times New Roman" w:hAnsi="Times New Roman"/>
                <w:sz w:val="24"/>
                <w:szCs w:val="24"/>
                <w:lang w:val="lv-LV"/>
              </w:rPr>
              <w:t>Kopējās izmaiņas budžeta izdevumos t.sk.:</w:t>
            </w:r>
          </w:p>
        </w:tc>
        <w:tc>
          <w:tcPr>
            <w:tcW w:w="808" w:type="pct"/>
            <w:tcBorders>
              <w:top w:val="single" w:sz="6" w:space="0" w:color="auto"/>
              <w:left w:val="single" w:sz="6" w:space="0" w:color="auto"/>
              <w:bottom w:val="single" w:sz="6" w:space="0" w:color="auto"/>
              <w:right w:val="single" w:sz="6" w:space="0" w:color="auto"/>
            </w:tcBorders>
          </w:tcPr>
          <w:p w:rsidR="006A79E6" w:rsidRPr="00950166" w:rsidRDefault="006A79E6" w:rsidP="006D5D35">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375</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59 335</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129 336</w:t>
            </w:r>
          </w:p>
        </w:tc>
        <w:tc>
          <w:tcPr>
            <w:tcW w:w="733" w:type="pct"/>
            <w:tcBorders>
              <w:top w:val="single" w:sz="6" w:space="0" w:color="auto"/>
              <w:left w:val="single" w:sz="6" w:space="0" w:color="auto"/>
              <w:bottom w:val="single" w:sz="6" w:space="0" w:color="auto"/>
            </w:tcBorders>
          </w:tcPr>
          <w:p w:rsidR="006A79E6" w:rsidRPr="00950166" w:rsidRDefault="006A79E6" w:rsidP="006D5D35">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205 237</w:t>
            </w:r>
          </w:p>
        </w:tc>
      </w:tr>
      <w:tr w:rsidR="006A79E6" w:rsidRPr="00950166" w:rsidTr="00D01996">
        <w:trPr>
          <w:trHeight w:val="60"/>
        </w:trPr>
        <w:tc>
          <w:tcPr>
            <w:tcW w:w="2137" w:type="pct"/>
            <w:tcBorders>
              <w:top w:val="single" w:sz="6" w:space="0" w:color="auto"/>
              <w:bottom w:val="single" w:sz="6" w:space="0" w:color="auto"/>
              <w:right w:val="single" w:sz="6" w:space="0" w:color="auto"/>
            </w:tcBorders>
            <w:vAlign w:val="center"/>
          </w:tcPr>
          <w:p w:rsidR="006A79E6" w:rsidRPr="00950166" w:rsidRDefault="006A79E6" w:rsidP="00D47524">
            <w:pPr>
              <w:spacing w:before="100" w:beforeAutospacing="1" w:after="0" w:line="60" w:lineRule="atLeast"/>
              <w:rPr>
                <w:rFonts w:ascii="Times New Roman" w:hAnsi="Times New Roman"/>
                <w:sz w:val="24"/>
                <w:szCs w:val="24"/>
                <w:lang w:val="lv-LV"/>
              </w:rPr>
            </w:pPr>
            <w:r w:rsidRPr="00950166">
              <w:rPr>
                <w:rFonts w:ascii="Times New Roman" w:hAnsi="Times New Roman"/>
                <w:sz w:val="24"/>
                <w:szCs w:val="24"/>
                <w:lang w:val="lv-LV"/>
              </w:rPr>
              <w:t>Izmaiņas valsts budžeta izdevumos, t.sk.:</w:t>
            </w:r>
          </w:p>
        </w:tc>
        <w:tc>
          <w:tcPr>
            <w:tcW w:w="808" w:type="pct"/>
            <w:tcBorders>
              <w:top w:val="single" w:sz="6" w:space="0" w:color="auto"/>
              <w:left w:val="single" w:sz="6" w:space="0" w:color="auto"/>
              <w:bottom w:val="single" w:sz="6" w:space="0" w:color="auto"/>
              <w:right w:val="single" w:sz="6" w:space="0" w:color="auto"/>
            </w:tcBorders>
          </w:tcPr>
          <w:p w:rsidR="006A79E6" w:rsidRPr="00950166" w:rsidRDefault="006A79E6" w:rsidP="006D5D35">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375</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59 335</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129 336</w:t>
            </w:r>
          </w:p>
        </w:tc>
        <w:tc>
          <w:tcPr>
            <w:tcW w:w="733" w:type="pct"/>
            <w:tcBorders>
              <w:top w:val="single" w:sz="6" w:space="0" w:color="auto"/>
              <w:left w:val="single" w:sz="6" w:space="0" w:color="auto"/>
              <w:bottom w:val="single" w:sz="6" w:space="0" w:color="auto"/>
            </w:tcBorders>
          </w:tcPr>
          <w:p w:rsidR="006A79E6" w:rsidRPr="00950166" w:rsidRDefault="006A79E6" w:rsidP="000E5997">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205 237</w:t>
            </w:r>
          </w:p>
        </w:tc>
      </w:tr>
      <w:tr w:rsidR="006A79E6" w:rsidRPr="00950166" w:rsidTr="00D01996">
        <w:trPr>
          <w:trHeight w:val="60"/>
        </w:trPr>
        <w:tc>
          <w:tcPr>
            <w:tcW w:w="2137" w:type="pct"/>
            <w:tcBorders>
              <w:top w:val="single" w:sz="6" w:space="0" w:color="auto"/>
              <w:bottom w:val="single" w:sz="6" w:space="0" w:color="auto"/>
              <w:right w:val="single" w:sz="6" w:space="0" w:color="auto"/>
            </w:tcBorders>
          </w:tcPr>
          <w:p w:rsidR="006A79E6" w:rsidRPr="00950166" w:rsidRDefault="006A79E6" w:rsidP="00D47524">
            <w:pPr>
              <w:spacing w:before="100" w:beforeAutospacing="1" w:after="0" w:line="60" w:lineRule="atLeast"/>
              <w:rPr>
                <w:rFonts w:ascii="Times New Roman" w:hAnsi="Times New Roman"/>
                <w:i/>
                <w:sz w:val="24"/>
                <w:szCs w:val="24"/>
                <w:lang w:val="lv-LV"/>
              </w:rPr>
            </w:pPr>
            <w:r w:rsidRPr="00950166">
              <w:rPr>
                <w:rFonts w:ascii="Times New Roman" w:hAnsi="Times New Roman"/>
                <w:i/>
                <w:sz w:val="24"/>
                <w:szCs w:val="24"/>
                <w:lang w:val="lv-LV"/>
              </w:rPr>
              <w:t xml:space="preserve">     Veselības ministrija</w:t>
            </w:r>
          </w:p>
        </w:tc>
        <w:tc>
          <w:tcPr>
            <w:tcW w:w="808" w:type="pct"/>
            <w:tcBorders>
              <w:top w:val="single" w:sz="6" w:space="0" w:color="auto"/>
              <w:left w:val="single" w:sz="6" w:space="0" w:color="auto"/>
              <w:bottom w:val="single" w:sz="6" w:space="0" w:color="auto"/>
              <w:right w:val="single" w:sz="6" w:space="0" w:color="auto"/>
            </w:tcBorders>
          </w:tcPr>
          <w:p w:rsidR="006A79E6" w:rsidRPr="00950166" w:rsidRDefault="006A79E6" w:rsidP="006D5D35">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125</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59 297</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129 298</w:t>
            </w:r>
          </w:p>
        </w:tc>
        <w:tc>
          <w:tcPr>
            <w:tcW w:w="733" w:type="pct"/>
            <w:tcBorders>
              <w:top w:val="single" w:sz="6" w:space="0" w:color="auto"/>
              <w:left w:val="single" w:sz="6" w:space="0" w:color="auto"/>
              <w:bottom w:val="single" w:sz="6" w:space="0" w:color="auto"/>
            </w:tcBorders>
          </w:tcPr>
          <w:p w:rsidR="006A79E6" w:rsidRPr="00950166" w:rsidRDefault="006A79E6" w:rsidP="0000350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205 199</w:t>
            </w:r>
          </w:p>
        </w:tc>
      </w:tr>
      <w:tr w:rsidR="006A79E6" w:rsidRPr="00950166" w:rsidTr="00D01996">
        <w:trPr>
          <w:trHeight w:val="60"/>
        </w:trPr>
        <w:tc>
          <w:tcPr>
            <w:tcW w:w="2137" w:type="pct"/>
            <w:tcBorders>
              <w:top w:val="single" w:sz="6" w:space="0" w:color="auto"/>
              <w:bottom w:val="single" w:sz="6" w:space="0" w:color="auto"/>
              <w:right w:val="single" w:sz="6" w:space="0" w:color="auto"/>
            </w:tcBorders>
          </w:tcPr>
          <w:p w:rsidR="006A79E6" w:rsidRPr="00950166" w:rsidRDefault="006A79E6" w:rsidP="00D47524">
            <w:pPr>
              <w:spacing w:before="100" w:beforeAutospacing="1" w:after="0" w:line="60" w:lineRule="atLeast"/>
              <w:rPr>
                <w:rFonts w:ascii="Times New Roman" w:hAnsi="Times New Roman"/>
                <w:i/>
                <w:sz w:val="24"/>
                <w:szCs w:val="24"/>
                <w:lang w:val="lv-LV"/>
              </w:rPr>
            </w:pPr>
            <w:r w:rsidRPr="00950166">
              <w:rPr>
                <w:rFonts w:ascii="Times New Roman" w:hAnsi="Times New Roman"/>
                <w:i/>
                <w:sz w:val="24"/>
                <w:szCs w:val="24"/>
                <w:lang w:val="lv-LV"/>
              </w:rPr>
              <w:t xml:space="preserve">     Finanšu ministrija</w:t>
            </w:r>
          </w:p>
        </w:tc>
        <w:tc>
          <w:tcPr>
            <w:tcW w:w="808" w:type="pct"/>
            <w:tcBorders>
              <w:top w:val="single" w:sz="6" w:space="0" w:color="auto"/>
              <w:left w:val="single" w:sz="6" w:space="0" w:color="auto"/>
              <w:bottom w:val="single" w:sz="6" w:space="0" w:color="auto"/>
              <w:right w:val="single" w:sz="6" w:space="0" w:color="auto"/>
            </w:tcBorders>
          </w:tcPr>
          <w:p w:rsidR="006A79E6" w:rsidRPr="00950166" w:rsidRDefault="006A79E6" w:rsidP="006D5D35">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100</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15</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15</w:t>
            </w:r>
          </w:p>
        </w:tc>
        <w:tc>
          <w:tcPr>
            <w:tcW w:w="733" w:type="pct"/>
            <w:tcBorders>
              <w:top w:val="single" w:sz="6" w:space="0" w:color="auto"/>
              <w:left w:val="single" w:sz="6" w:space="0" w:color="auto"/>
              <w:bottom w:val="single" w:sz="6" w:space="0" w:color="auto"/>
            </w:tcBorders>
          </w:tcPr>
          <w:p w:rsidR="006A79E6" w:rsidRPr="00950166" w:rsidRDefault="006A79E6" w:rsidP="0000350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15</w:t>
            </w:r>
          </w:p>
        </w:tc>
      </w:tr>
      <w:tr w:rsidR="006A79E6" w:rsidRPr="00950166" w:rsidTr="00D01996">
        <w:trPr>
          <w:trHeight w:val="60"/>
        </w:trPr>
        <w:tc>
          <w:tcPr>
            <w:tcW w:w="2137" w:type="pct"/>
            <w:tcBorders>
              <w:top w:val="single" w:sz="6" w:space="0" w:color="auto"/>
              <w:bottom w:val="single" w:sz="6" w:space="0" w:color="auto"/>
              <w:right w:val="single" w:sz="6" w:space="0" w:color="auto"/>
            </w:tcBorders>
          </w:tcPr>
          <w:p w:rsidR="006A79E6" w:rsidRPr="00950166" w:rsidRDefault="006A79E6" w:rsidP="00D47524">
            <w:pPr>
              <w:spacing w:before="100" w:beforeAutospacing="1" w:after="0" w:line="60" w:lineRule="atLeast"/>
              <w:rPr>
                <w:rFonts w:ascii="Times New Roman" w:hAnsi="Times New Roman"/>
                <w:i/>
                <w:sz w:val="24"/>
                <w:szCs w:val="24"/>
                <w:lang w:val="lv-LV"/>
              </w:rPr>
            </w:pPr>
            <w:r w:rsidRPr="00950166">
              <w:rPr>
                <w:rFonts w:ascii="Times New Roman" w:hAnsi="Times New Roman"/>
                <w:i/>
                <w:sz w:val="24"/>
                <w:szCs w:val="24"/>
                <w:lang w:val="lv-LV"/>
              </w:rPr>
              <w:t xml:space="preserve">     Labklājības ministrija</w:t>
            </w:r>
          </w:p>
        </w:tc>
        <w:tc>
          <w:tcPr>
            <w:tcW w:w="808" w:type="pct"/>
            <w:tcBorders>
              <w:top w:val="single" w:sz="6" w:space="0" w:color="auto"/>
              <w:left w:val="single" w:sz="6" w:space="0" w:color="auto"/>
              <w:bottom w:val="single" w:sz="6" w:space="0" w:color="auto"/>
              <w:right w:val="single" w:sz="6" w:space="0" w:color="auto"/>
            </w:tcBorders>
          </w:tcPr>
          <w:p w:rsidR="006A79E6" w:rsidRPr="00950166" w:rsidRDefault="006A79E6" w:rsidP="006D5D35">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80</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12</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12</w:t>
            </w:r>
          </w:p>
        </w:tc>
        <w:tc>
          <w:tcPr>
            <w:tcW w:w="733" w:type="pct"/>
            <w:tcBorders>
              <w:top w:val="single" w:sz="6" w:space="0" w:color="auto"/>
              <w:left w:val="single" w:sz="6" w:space="0" w:color="auto"/>
              <w:bottom w:val="single" w:sz="6" w:space="0" w:color="auto"/>
            </w:tcBorders>
          </w:tcPr>
          <w:p w:rsidR="006A79E6" w:rsidRPr="00950166" w:rsidRDefault="006A79E6" w:rsidP="0000350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12</w:t>
            </w:r>
          </w:p>
        </w:tc>
      </w:tr>
      <w:tr w:rsidR="006A79E6" w:rsidRPr="00950166" w:rsidTr="00D01996">
        <w:trPr>
          <w:trHeight w:val="60"/>
        </w:trPr>
        <w:tc>
          <w:tcPr>
            <w:tcW w:w="2137" w:type="pct"/>
            <w:tcBorders>
              <w:top w:val="single" w:sz="6" w:space="0" w:color="auto"/>
              <w:bottom w:val="single" w:sz="6" w:space="0" w:color="auto"/>
              <w:right w:val="single" w:sz="6" w:space="0" w:color="auto"/>
            </w:tcBorders>
          </w:tcPr>
          <w:p w:rsidR="006A79E6" w:rsidRPr="00950166" w:rsidRDefault="006A79E6" w:rsidP="00D47524">
            <w:pPr>
              <w:spacing w:before="100" w:beforeAutospacing="1" w:after="0" w:line="60" w:lineRule="atLeast"/>
              <w:rPr>
                <w:rFonts w:ascii="Times New Roman" w:hAnsi="Times New Roman"/>
                <w:i/>
                <w:sz w:val="24"/>
                <w:szCs w:val="24"/>
                <w:lang w:val="lv-LV"/>
              </w:rPr>
            </w:pPr>
            <w:r w:rsidRPr="00950166">
              <w:rPr>
                <w:rFonts w:ascii="Times New Roman" w:hAnsi="Times New Roman"/>
                <w:i/>
                <w:sz w:val="24"/>
                <w:szCs w:val="24"/>
                <w:lang w:val="lv-LV"/>
              </w:rPr>
              <w:t xml:space="preserve">     Izglītības un zinātnes ministrija</w:t>
            </w:r>
          </w:p>
        </w:tc>
        <w:tc>
          <w:tcPr>
            <w:tcW w:w="808" w:type="pct"/>
            <w:tcBorders>
              <w:top w:val="single" w:sz="6" w:space="0" w:color="auto"/>
              <w:left w:val="single" w:sz="6" w:space="0" w:color="auto"/>
              <w:bottom w:val="single" w:sz="6" w:space="0" w:color="auto"/>
              <w:right w:val="single" w:sz="6" w:space="0" w:color="auto"/>
            </w:tcBorders>
          </w:tcPr>
          <w:p w:rsidR="006A79E6" w:rsidRPr="00950166" w:rsidRDefault="006A79E6" w:rsidP="006D5D35">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30</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5</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5</w:t>
            </w:r>
          </w:p>
        </w:tc>
        <w:tc>
          <w:tcPr>
            <w:tcW w:w="733" w:type="pct"/>
            <w:tcBorders>
              <w:top w:val="single" w:sz="6" w:space="0" w:color="auto"/>
              <w:left w:val="single" w:sz="6" w:space="0" w:color="auto"/>
              <w:bottom w:val="single" w:sz="6" w:space="0" w:color="auto"/>
            </w:tcBorders>
          </w:tcPr>
          <w:p w:rsidR="006A79E6" w:rsidRPr="00950166" w:rsidRDefault="006A79E6" w:rsidP="0000350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5</w:t>
            </w:r>
          </w:p>
        </w:tc>
      </w:tr>
      <w:tr w:rsidR="006A79E6" w:rsidRPr="00950166" w:rsidTr="00D01996">
        <w:trPr>
          <w:trHeight w:val="60"/>
        </w:trPr>
        <w:tc>
          <w:tcPr>
            <w:tcW w:w="2137" w:type="pct"/>
            <w:tcBorders>
              <w:top w:val="single" w:sz="6" w:space="0" w:color="auto"/>
              <w:bottom w:val="single" w:sz="6" w:space="0" w:color="auto"/>
              <w:right w:val="single" w:sz="6" w:space="0" w:color="auto"/>
            </w:tcBorders>
          </w:tcPr>
          <w:p w:rsidR="006A79E6" w:rsidRPr="00950166" w:rsidRDefault="006A79E6" w:rsidP="00766BAF">
            <w:pPr>
              <w:spacing w:before="100" w:beforeAutospacing="1" w:after="0" w:line="60" w:lineRule="atLeast"/>
              <w:rPr>
                <w:rFonts w:ascii="Times New Roman" w:hAnsi="Times New Roman"/>
                <w:i/>
                <w:sz w:val="24"/>
                <w:szCs w:val="24"/>
                <w:lang w:val="lv-LV"/>
              </w:rPr>
            </w:pPr>
            <w:r w:rsidRPr="00950166">
              <w:rPr>
                <w:rFonts w:ascii="Times New Roman" w:hAnsi="Times New Roman"/>
                <w:i/>
                <w:sz w:val="24"/>
                <w:szCs w:val="24"/>
                <w:lang w:val="lv-LV"/>
              </w:rPr>
              <w:t xml:space="preserve">     Iekšlietu ministrija</w:t>
            </w:r>
          </w:p>
        </w:tc>
        <w:tc>
          <w:tcPr>
            <w:tcW w:w="808"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30</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4</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4</w:t>
            </w:r>
          </w:p>
        </w:tc>
        <w:tc>
          <w:tcPr>
            <w:tcW w:w="733" w:type="pct"/>
            <w:tcBorders>
              <w:top w:val="single" w:sz="6" w:space="0" w:color="auto"/>
              <w:left w:val="single" w:sz="6" w:space="0" w:color="auto"/>
              <w:bottom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4</w:t>
            </w:r>
          </w:p>
        </w:tc>
      </w:tr>
      <w:tr w:rsidR="006A79E6" w:rsidRPr="00950166" w:rsidTr="00D01996">
        <w:trPr>
          <w:trHeight w:val="60"/>
        </w:trPr>
        <w:tc>
          <w:tcPr>
            <w:tcW w:w="2137" w:type="pct"/>
            <w:tcBorders>
              <w:top w:val="single" w:sz="6" w:space="0" w:color="auto"/>
              <w:bottom w:val="single" w:sz="6" w:space="0" w:color="auto"/>
              <w:right w:val="single" w:sz="6" w:space="0" w:color="auto"/>
            </w:tcBorders>
          </w:tcPr>
          <w:p w:rsidR="006A79E6" w:rsidRPr="00950166" w:rsidRDefault="006A79E6" w:rsidP="00D47524">
            <w:pPr>
              <w:spacing w:before="100" w:beforeAutospacing="1" w:after="0" w:line="60" w:lineRule="atLeast"/>
              <w:rPr>
                <w:rFonts w:ascii="Times New Roman" w:hAnsi="Times New Roman"/>
                <w:i/>
                <w:sz w:val="24"/>
                <w:szCs w:val="24"/>
                <w:lang w:val="lv-LV"/>
              </w:rPr>
            </w:pPr>
            <w:r w:rsidRPr="00950166">
              <w:rPr>
                <w:rFonts w:ascii="Times New Roman" w:hAnsi="Times New Roman"/>
                <w:i/>
                <w:sz w:val="24"/>
                <w:szCs w:val="24"/>
                <w:lang w:val="lv-LV"/>
              </w:rPr>
              <w:t xml:space="preserve">     Tieslietu ministrija</w:t>
            </w:r>
          </w:p>
        </w:tc>
        <w:tc>
          <w:tcPr>
            <w:tcW w:w="808" w:type="pct"/>
            <w:tcBorders>
              <w:top w:val="single" w:sz="6" w:space="0" w:color="auto"/>
              <w:left w:val="single" w:sz="6" w:space="0" w:color="auto"/>
              <w:bottom w:val="single" w:sz="6" w:space="0" w:color="auto"/>
              <w:right w:val="single" w:sz="6" w:space="0" w:color="auto"/>
            </w:tcBorders>
          </w:tcPr>
          <w:p w:rsidR="006A79E6" w:rsidRPr="00950166" w:rsidRDefault="006A79E6" w:rsidP="006D5D35">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10</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2</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2</w:t>
            </w:r>
          </w:p>
        </w:tc>
        <w:tc>
          <w:tcPr>
            <w:tcW w:w="733" w:type="pct"/>
            <w:tcBorders>
              <w:top w:val="single" w:sz="6" w:space="0" w:color="auto"/>
              <w:left w:val="single" w:sz="6" w:space="0" w:color="auto"/>
              <w:bottom w:val="single" w:sz="6" w:space="0" w:color="auto"/>
            </w:tcBorders>
          </w:tcPr>
          <w:p w:rsidR="006A79E6" w:rsidRPr="00950166" w:rsidRDefault="006A79E6" w:rsidP="0000350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2</w:t>
            </w:r>
          </w:p>
        </w:tc>
      </w:tr>
      <w:tr w:rsidR="006A79E6" w:rsidRPr="00950166" w:rsidTr="00D01996">
        <w:trPr>
          <w:trHeight w:val="60"/>
        </w:trPr>
        <w:tc>
          <w:tcPr>
            <w:tcW w:w="2137" w:type="pct"/>
            <w:tcBorders>
              <w:top w:val="single" w:sz="6" w:space="0" w:color="auto"/>
              <w:bottom w:val="single" w:sz="6" w:space="0" w:color="auto"/>
              <w:right w:val="single" w:sz="6" w:space="0" w:color="auto"/>
            </w:tcBorders>
          </w:tcPr>
          <w:p w:rsidR="006A79E6" w:rsidRPr="00950166" w:rsidRDefault="006A79E6" w:rsidP="00D47524">
            <w:pPr>
              <w:spacing w:before="100" w:beforeAutospacing="1" w:after="0" w:line="60" w:lineRule="atLeast"/>
              <w:rPr>
                <w:rFonts w:ascii="Times New Roman" w:hAnsi="Times New Roman"/>
                <w:sz w:val="24"/>
                <w:szCs w:val="24"/>
                <w:lang w:val="lv-LV"/>
              </w:rPr>
            </w:pPr>
            <w:r w:rsidRPr="00950166">
              <w:rPr>
                <w:rFonts w:ascii="Times New Roman" w:hAnsi="Times New Roman"/>
                <w:sz w:val="24"/>
                <w:szCs w:val="24"/>
                <w:lang w:val="lv-LV"/>
              </w:rPr>
              <w:t>Izmaiņas pašvaldību budžeta izdevumos</w:t>
            </w:r>
          </w:p>
        </w:tc>
        <w:tc>
          <w:tcPr>
            <w:tcW w:w="808" w:type="pct"/>
            <w:tcBorders>
              <w:top w:val="single" w:sz="6" w:space="0" w:color="auto"/>
              <w:left w:val="single" w:sz="6" w:space="0" w:color="auto"/>
              <w:bottom w:val="single" w:sz="6" w:space="0" w:color="auto"/>
              <w:right w:val="single" w:sz="6" w:space="0" w:color="auto"/>
            </w:tcBorders>
          </w:tcPr>
          <w:p w:rsidR="006A79E6" w:rsidRPr="00950166" w:rsidRDefault="006A79E6" w:rsidP="006D5D35">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c>
          <w:tcPr>
            <w:tcW w:w="733" w:type="pct"/>
            <w:tcBorders>
              <w:top w:val="single" w:sz="6" w:space="0" w:color="auto"/>
              <w:left w:val="single" w:sz="6" w:space="0" w:color="auto"/>
              <w:bottom w:val="single" w:sz="6" w:space="0" w:color="auto"/>
            </w:tcBorders>
          </w:tcPr>
          <w:p w:rsidR="006A79E6" w:rsidRPr="00950166" w:rsidRDefault="006A79E6" w:rsidP="006D5D35">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r>
      <w:tr w:rsidR="006A79E6" w:rsidRPr="00950166" w:rsidTr="00D01996">
        <w:trPr>
          <w:trHeight w:val="60"/>
        </w:trPr>
        <w:tc>
          <w:tcPr>
            <w:tcW w:w="2137" w:type="pct"/>
            <w:tcBorders>
              <w:top w:val="single" w:sz="6" w:space="0" w:color="auto"/>
              <w:bottom w:val="single" w:sz="6" w:space="0" w:color="auto"/>
              <w:right w:val="single" w:sz="6" w:space="0" w:color="auto"/>
            </w:tcBorders>
          </w:tcPr>
          <w:p w:rsidR="006A79E6" w:rsidRPr="00950166" w:rsidRDefault="006A79E6" w:rsidP="00D47524">
            <w:pPr>
              <w:spacing w:before="100" w:beforeAutospacing="1" w:after="0" w:line="60" w:lineRule="atLeast"/>
              <w:rPr>
                <w:rFonts w:ascii="Times New Roman" w:hAnsi="Times New Roman"/>
                <w:sz w:val="24"/>
                <w:szCs w:val="24"/>
                <w:lang w:val="lv-LV"/>
              </w:rPr>
            </w:pPr>
            <w:r w:rsidRPr="00950166">
              <w:rPr>
                <w:rFonts w:ascii="Times New Roman" w:hAnsi="Times New Roman"/>
                <w:sz w:val="24"/>
                <w:szCs w:val="24"/>
                <w:lang w:val="lv-LV"/>
              </w:rPr>
              <w:t>Kopējā finansiālā ietekme:</w:t>
            </w:r>
          </w:p>
        </w:tc>
        <w:tc>
          <w:tcPr>
            <w:tcW w:w="808" w:type="pct"/>
            <w:tcBorders>
              <w:top w:val="single" w:sz="6" w:space="0" w:color="auto"/>
              <w:left w:val="single" w:sz="6" w:space="0" w:color="auto"/>
              <w:bottom w:val="single" w:sz="6" w:space="0" w:color="auto"/>
              <w:right w:val="single" w:sz="6" w:space="0" w:color="auto"/>
            </w:tcBorders>
          </w:tcPr>
          <w:p w:rsidR="006A79E6" w:rsidRPr="00950166" w:rsidRDefault="006A79E6" w:rsidP="006D5D35">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-375</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-59 335</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-129 336</w:t>
            </w:r>
          </w:p>
        </w:tc>
        <w:tc>
          <w:tcPr>
            <w:tcW w:w="733" w:type="pct"/>
            <w:tcBorders>
              <w:top w:val="single" w:sz="6" w:space="0" w:color="auto"/>
              <w:left w:val="single" w:sz="6" w:space="0" w:color="auto"/>
              <w:bottom w:val="single" w:sz="6" w:space="0" w:color="auto"/>
            </w:tcBorders>
          </w:tcPr>
          <w:p w:rsidR="006A79E6" w:rsidRPr="00950166" w:rsidRDefault="006A79E6" w:rsidP="006D5D35">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-205 237</w:t>
            </w:r>
          </w:p>
        </w:tc>
      </w:tr>
      <w:tr w:rsidR="006A79E6" w:rsidRPr="00950166" w:rsidTr="00D01996">
        <w:trPr>
          <w:trHeight w:val="60"/>
        </w:trPr>
        <w:tc>
          <w:tcPr>
            <w:tcW w:w="2137" w:type="pct"/>
            <w:tcBorders>
              <w:top w:val="single" w:sz="6" w:space="0" w:color="auto"/>
              <w:bottom w:val="single" w:sz="6" w:space="0" w:color="auto"/>
              <w:right w:val="single" w:sz="6" w:space="0" w:color="auto"/>
            </w:tcBorders>
          </w:tcPr>
          <w:p w:rsidR="006A79E6" w:rsidRPr="00950166" w:rsidRDefault="006A79E6" w:rsidP="00D47524">
            <w:pPr>
              <w:spacing w:before="100" w:beforeAutospacing="1" w:after="0" w:line="60" w:lineRule="atLeast"/>
              <w:rPr>
                <w:rFonts w:ascii="Times New Roman" w:hAnsi="Times New Roman"/>
                <w:sz w:val="24"/>
                <w:szCs w:val="24"/>
                <w:lang w:val="lv-LV"/>
              </w:rPr>
            </w:pPr>
            <w:r w:rsidRPr="00950166">
              <w:rPr>
                <w:rFonts w:ascii="Times New Roman" w:hAnsi="Times New Roman"/>
                <w:sz w:val="24"/>
                <w:szCs w:val="24"/>
                <w:lang w:val="lv-LV"/>
              </w:rPr>
              <w:t>Finansiālā ietekme uz valsts budžetu</w:t>
            </w:r>
          </w:p>
        </w:tc>
        <w:tc>
          <w:tcPr>
            <w:tcW w:w="808" w:type="pct"/>
            <w:tcBorders>
              <w:top w:val="single" w:sz="6" w:space="0" w:color="auto"/>
              <w:left w:val="single" w:sz="6" w:space="0" w:color="auto"/>
              <w:bottom w:val="single" w:sz="6" w:space="0" w:color="auto"/>
              <w:right w:val="single" w:sz="6" w:space="0" w:color="auto"/>
            </w:tcBorders>
          </w:tcPr>
          <w:p w:rsidR="006A79E6" w:rsidRPr="00950166" w:rsidRDefault="006A79E6" w:rsidP="006D5D35">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-375</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-59 335</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-129 336</w:t>
            </w:r>
          </w:p>
        </w:tc>
        <w:tc>
          <w:tcPr>
            <w:tcW w:w="733" w:type="pct"/>
            <w:tcBorders>
              <w:top w:val="single" w:sz="6" w:space="0" w:color="auto"/>
              <w:left w:val="single" w:sz="6" w:space="0" w:color="auto"/>
              <w:bottom w:val="single" w:sz="6" w:space="0" w:color="auto"/>
            </w:tcBorders>
          </w:tcPr>
          <w:p w:rsidR="006A79E6" w:rsidRPr="00950166" w:rsidRDefault="006A79E6" w:rsidP="000E5997">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-205 237</w:t>
            </w:r>
          </w:p>
        </w:tc>
      </w:tr>
      <w:tr w:rsidR="006A79E6" w:rsidRPr="00950166" w:rsidTr="00D01996">
        <w:trPr>
          <w:trHeight w:val="60"/>
        </w:trPr>
        <w:tc>
          <w:tcPr>
            <w:tcW w:w="2137" w:type="pct"/>
            <w:tcBorders>
              <w:top w:val="single" w:sz="6" w:space="0" w:color="auto"/>
              <w:bottom w:val="single" w:sz="6" w:space="0" w:color="auto"/>
              <w:right w:val="single" w:sz="6" w:space="0" w:color="auto"/>
            </w:tcBorders>
          </w:tcPr>
          <w:p w:rsidR="006A79E6" w:rsidRPr="00950166" w:rsidRDefault="006A79E6" w:rsidP="000E5997">
            <w:pPr>
              <w:spacing w:before="100" w:beforeAutospacing="1" w:after="0" w:line="60" w:lineRule="atLeast"/>
              <w:rPr>
                <w:rFonts w:ascii="Times New Roman" w:hAnsi="Times New Roman"/>
                <w:sz w:val="24"/>
                <w:szCs w:val="24"/>
                <w:lang w:val="lv-LV"/>
              </w:rPr>
            </w:pPr>
            <w:r w:rsidRPr="00950166">
              <w:rPr>
                <w:rFonts w:ascii="Times New Roman" w:hAnsi="Times New Roman"/>
                <w:sz w:val="24"/>
                <w:szCs w:val="24"/>
                <w:lang w:val="lv-LV"/>
              </w:rPr>
              <w:t>Finansiālā ietekme uz pašvaldību budžetu</w:t>
            </w:r>
          </w:p>
        </w:tc>
        <w:tc>
          <w:tcPr>
            <w:tcW w:w="808" w:type="pct"/>
            <w:tcBorders>
              <w:top w:val="single" w:sz="6" w:space="0" w:color="auto"/>
              <w:left w:val="single" w:sz="6" w:space="0" w:color="auto"/>
              <w:bottom w:val="single" w:sz="6" w:space="0" w:color="auto"/>
              <w:right w:val="single" w:sz="6" w:space="0" w:color="auto"/>
            </w:tcBorders>
          </w:tcPr>
          <w:p w:rsidR="006A79E6" w:rsidRPr="00950166" w:rsidRDefault="006A79E6" w:rsidP="000E5997">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c>
          <w:tcPr>
            <w:tcW w:w="733" w:type="pct"/>
            <w:tcBorders>
              <w:top w:val="single" w:sz="6" w:space="0" w:color="auto"/>
              <w:left w:val="single" w:sz="6" w:space="0" w:color="auto"/>
              <w:bottom w:val="single" w:sz="6" w:space="0" w:color="auto"/>
            </w:tcBorders>
          </w:tcPr>
          <w:p w:rsidR="006A79E6" w:rsidRPr="00950166" w:rsidRDefault="006A79E6" w:rsidP="000E5997">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0</w:t>
            </w:r>
          </w:p>
        </w:tc>
      </w:tr>
      <w:tr w:rsidR="006A79E6" w:rsidRPr="00950166" w:rsidTr="00D01996">
        <w:trPr>
          <w:trHeight w:val="840"/>
        </w:trPr>
        <w:tc>
          <w:tcPr>
            <w:tcW w:w="2137" w:type="pct"/>
            <w:tcBorders>
              <w:top w:val="single" w:sz="6" w:space="0" w:color="auto"/>
              <w:bottom w:val="single" w:sz="6" w:space="0" w:color="auto"/>
              <w:right w:val="single" w:sz="6" w:space="0" w:color="auto"/>
            </w:tcBorders>
          </w:tcPr>
          <w:p w:rsidR="006A79E6" w:rsidRPr="00950166" w:rsidRDefault="006A79E6" w:rsidP="00792ABC">
            <w:pPr>
              <w:spacing w:before="100" w:beforeAutospacing="1" w:after="0" w:line="60" w:lineRule="atLeast"/>
              <w:rPr>
                <w:rFonts w:ascii="Times New Roman" w:hAnsi="Times New Roman"/>
                <w:sz w:val="24"/>
                <w:szCs w:val="24"/>
                <w:lang w:val="lv-LV"/>
              </w:rPr>
            </w:pPr>
            <w:r w:rsidRPr="00950166">
              <w:rPr>
                <w:rFonts w:ascii="Times New Roman" w:hAnsi="Times New Roman"/>
                <w:sz w:val="24"/>
                <w:szCs w:val="24"/>
                <w:lang w:val="lv-LV"/>
              </w:rPr>
              <w:t>Detalizēts ieņēmumu un izdevumu aprēķins (ja nepieciešams, detalizētu ieņēmumu un izdevumu aprēķinu pievieno politikas plānošanas dokumenta pielikumā. Ietekmi uz valsts un pašvaldību budžetiem norāda atsevišķi valsts un pašvaldību budžetam)</w:t>
            </w:r>
          </w:p>
        </w:tc>
        <w:tc>
          <w:tcPr>
            <w:tcW w:w="2863" w:type="pct"/>
            <w:gridSpan w:val="4"/>
            <w:tcBorders>
              <w:top w:val="single" w:sz="6" w:space="0" w:color="auto"/>
              <w:bottom w:val="single" w:sz="6" w:space="0" w:color="auto"/>
            </w:tcBorders>
          </w:tcPr>
          <w:p w:rsidR="006A79E6" w:rsidRPr="00950166" w:rsidRDefault="006A79E6" w:rsidP="00DE0AEE">
            <w:pPr>
              <w:spacing w:after="0" w:line="60" w:lineRule="atLeast"/>
              <w:jc w:val="both"/>
              <w:rPr>
                <w:rFonts w:ascii="Times New Roman" w:hAnsi="Times New Roman"/>
                <w:sz w:val="24"/>
                <w:szCs w:val="24"/>
                <w:lang w:val="lv-LV"/>
              </w:rPr>
            </w:pPr>
            <w:r w:rsidRPr="00950166">
              <w:rPr>
                <w:rFonts w:ascii="Times New Roman" w:hAnsi="Times New Roman"/>
                <w:sz w:val="24"/>
                <w:szCs w:val="24"/>
                <w:lang w:val="lv-LV"/>
              </w:rPr>
              <w:t>Veselības ministrija savus aprēķinus ir veikusi pret likumā „Par valsts budžetu 2013.gadam” plānoto finansējumu veselības nozarei 500 336 tūkst.latu apmērā, t.sk., 464 397 tūkst.latu pamatfunkciju nodrošināšanai un 35 939 tūkst.latu ES fondu un citu ārvalstu finanšu instrumentu finansējums. Papildus valsts budžeta izdevumi nepieciešami šādu pasākumu realizācijai:</w:t>
            </w:r>
          </w:p>
          <w:p w:rsidR="006A79E6" w:rsidRPr="00950166" w:rsidRDefault="006A79E6" w:rsidP="00F754F1">
            <w:pPr>
              <w:spacing w:after="0" w:line="60" w:lineRule="atLeast"/>
              <w:rPr>
                <w:rFonts w:ascii="Times New Roman" w:hAnsi="Times New Roman"/>
                <w:b/>
                <w:sz w:val="24"/>
                <w:szCs w:val="24"/>
                <w:u w:val="single"/>
                <w:lang w:val="lv-LV"/>
              </w:rPr>
            </w:pPr>
          </w:p>
          <w:p w:rsidR="006A79E6" w:rsidRPr="00950166" w:rsidRDefault="006A79E6" w:rsidP="00F754F1">
            <w:pPr>
              <w:spacing w:after="0" w:line="60" w:lineRule="atLeast"/>
              <w:rPr>
                <w:rFonts w:ascii="Times New Roman" w:hAnsi="Times New Roman"/>
                <w:b/>
                <w:sz w:val="24"/>
                <w:szCs w:val="24"/>
                <w:u w:val="single"/>
                <w:lang w:val="lv-LV"/>
              </w:rPr>
            </w:pPr>
            <w:r w:rsidRPr="00950166">
              <w:rPr>
                <w:rFonts w:ascii="Times New Roman" w:hAnsi="Times New Roman"/>
                <w:b/>
                <w:sz w:val="24"/>
                <w:szCs w:val="24"/>
                <w:u w:val="single"/>
                <w:lang w:val="lv-LV"/>
              </w:rPr>
              <w:lastRenderedPageBreak/>
              <w:t>2013.gadā – 375 tūkst.latu</w:t>
            </w:r>
          </w:p>
          <w:p w:rsidR="006A79E6" w:rsidRPr="00950166" w:rsidRDefault="006A79E6" w:rsidP="00F754F1">
            <w:pPr>
              <w:spacing w:after="0" w:line="60" w:lineRule="atLeast"/>
              <w:jc w:val="both"/>
              <w:rPr>
                <w:rFonts w:ascii="Times New Roman" w:hAnsi="Times New Roman"/>
                <w:i/>
                <w:sz w:val="24"/>
                <w:szCs w:val="24"/>
                <w:lang w:val="lv-LV"/>
              </w:rPr>
            </w:pPr>
            <w:r w:rsidRPr="00950166">
              <w:rPr>
                <w:rFonts w:ascii="Times New Roman" w:hAnsi="Times New Roman"/>
                <w:i/>
                <w:sz w:val="24"/>
                <w:szCs w:val="24"/>
                <w:lang w:val="lv-LV"/>
              </w:rPr>
              <w:t>375 tūkst</w:t>
            </w:r>
            <w:smartTag w:uri="schemas-tilde-lv/tildestengine" w:element="currency2">
              <w:smartTagPr>
                <w:attr w:name="currency_text" w:val="latu"/>
                <w:attr w:name="currency_value" w:val="."/>
                <w:attr w:name="currency_key" w:val="LVL"/>
                <w:attr w:name="currency_id" w:val="48"/>
              </w:smartTagPr>
              <w:r w:rsidRPr="00950166">
                <w:rPr>
                  <w:rFonts w:ascii="Times New Roman" w:hAnsi="Times New Roman"/>
                  <w:i/>
                  <w:sz w:val="24"/>
                  <w:szCs w:val="24"/>
                  <w:lang w:val="lv-LV"/>
                </w:rPr>
                <w:t>. latu</w:t>
              </w:r>
            </w:smartTag>
            <w:r w:rsidRPr="00950166">
              <w:rPr>
                <w:rFonts w:ascii="Times New Roman" w:hAnsi="Times New Roman"/>
                <w:i/>
                <w:sz w:val="24"/>
                <w:szCs w:val="24"/>
                <w:lang w:val="lv-LV"/>
              </w:rPr>
              <w:t xml:space="preserve"> – IT sistēmu saslēgšanai 1.modeļa īstenošanai, izmaksas ir aptuvenas, jo iestādes nevarēja veikt detalizētu izvērtējumu un aprēķinus, jo nevar nodefinēt konkrētas prasības IT sistēmām:</w:t>
            </w:r>
          </w:p>
          <w:p w:rsidR="006A79E6" w:rsidRPr="00950166" w:rsidRDefault="006A79E6" w:rsidP="00F754F1">
            <w:pPr>
              <w:spacing w:after="0" w:line="60" w:lineRule="atLeast"/>
              <w:jc w:val="both"/>
              <w:rPr>
                <w:rFonts w:ascii="Times New Roman" w:hAnsi="Times New Roman"/>
                <w:b/>
                <w:sz w:val="24"/>
                <w:szCs w:val="24"/>
                <w:lang w:val="lv-LV"/>
              </w:rPr>
            </w:pPr>
            <w:r w:rsidRPr="00950166">
              <w:rPr>
                <w:rFonts w:ascii="Times New Roman" w:hAnsi="Times New Roman"/>
                <w:b/>
                <w:sz w:val="24"/>
                <w:szCs w:val="24"/>
                <w:u w:val="single"/>
                <w:lang w:val="lv-LV"/>
              </w:rPr>
              <w:t>Finanšu ministrijai 100 tūkst.latu</w:t>
            </w:r>
            <w:r w:rsidRPr="00950166">
              <w:rPr>
                <w:rFonts w:ascii="Times New Roman" w:hAnsi="Times New Roman"/>
                <w:b/>
                <w:sz w:val="24"/>
                <w:szCs w:val="24"/>
                <w:lang w:val="lv-LV"/>
              </w:rPr>
              <w:t>, t.sk.:</w:t>
            </w:r>
          </w:p>
          <w:p w:rsidR="006A79E6" w:rsidRPr="00950166" w:rsidRDefault="006A79E6" w:rsidP="00F754F1">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 xml:space="preserve">100 tūkst.latu – </w:t>
            </w:r>
            <w:r w:rsidRPr="00950166">
              <w:rPr>
                <w:rFonts w:ascii="Times New Roman" w:hAnsi="Times New Roman"/>
                <w:sz w:val="24"/>
                <w:szCs w:val="24"/>
                <w:lang w:val="lv-LV"/>
              </w:rPr>
              <w:t>VID sistēmas „Nodokļu informācijas sistēmas” uzlabojumiem un papildinājumiem, lai nodrošinātu datu par IIN nodokļa maksātāju kategorijām (pie 1 A modeļa) vai VSAOI maksātāju kategorijām (pie 1 B modeļa) aprēķināto nodokļu atlasi un šo datu nodošana NVD pa nodokļu maksātāju kategorijām (reizi ceturksnī);</w:t>
            </w:r>
          </w:p>
          <w:p w:rsidR="006A79E6" w:rsidRPr="00950166" w:rsidRDefault="006A79E6" w:rsidP="00F754F1">
            <w:pPr>
              <w:spacing w:after="0" w:line="60" w:lineRule="atLeast"/>
              <w:jc w:val="both"/>
              <w:rPr>
                <w:rFonts w:ascii="Times New Roman" w:hAnsi="Times New Roman"/>
                <w:b/>
                <w:sz w:val="24"/>
                <w:szCs w:val="24"/>
                <w:lang w:val="lv-LV"/>
              </w:rPr>
            </w:pPr>
            <w:r w:rsidRPr="00950166">
              <w:rPr>
                <w:rFonts w:ascii="Times New Roman" w:hAnsi="Times New Roman"/>
                <w:b/>
                <w:sz w:val="24"/>
                <w:szCs w:val="24"/>
                <w:u w:val="single"/>
                <w:lang w:val="lv-LV"/>
              </w:rPr>
              <w:t>Labklājības ministrijai 80 tūkst.latu</w:t>
            </w:r>
            <w:r w:rsidRPr="00950166">
              <w:rPr>
                <w:rFonts w:ascii="Times New Roman" w:hAnsi="Times New Roman"/>
                <w:b/>
                <w:sz w:val="24"/>
                <w:szCs w:val="24"/>
                <w:lang w:val="lv-LV"/>
              </w:rPr>
              <w:t>, t.sk.:</w:t>
            </w:r>
          </w:p>
          <w:p w:rsidR="006A79E6" w:rsidRPr="00950166" w:rsidRDefault="006A79E6" w:rsidP="00E37E48">
            <w:pPr>
              <w:spacing w:after="0" w:line="60" w:lineRule="atLeast"/>
              <w:jc w:val="both"/>
              <w:rPr>
                <w:rFonts w:ascii="Times New Roman" w:hAnsi="Times New Roman"/>
                <w:b/>
                <w:sz w:val="24"/>
                <w:szCs w:val="24"/>
                <w:lang w:val="lv-LV"/>
              </w:rPr>
            </w:pPr>
            <w:r w:rsidRPr="00950166">
              <w:rPr>
                <w:rFonts w:ascii="Times New Roman" w:hAnsi="Times New Roman"/>
                <w:b/>
                <w:sz w:val="24"/>
                <w:szCs w:val="24"/>
                <w:lang w:val="lv-LV"/>
              </w:rPr>
              <w:t>50 tūkst.latu</w:t>
            </w:r>
            <w:r w:rsidRPr="00950166">
              <w:rPr>
                <w:rFonts w:ascii="Times New Roman" w:hAnsi="Times New Roman"/>
                <w:sz w:val="24"/>
                <w:szCs w:val="24"/>
                <w:lang w:val="lv-LV"/>
              </w:rPr>
              <w:t xml:space="preserve"> - VSAA sistēmas „Sociālās apdrošināšanas informācijas sistēma” uzlabojumiem un papildinājumiem, lai nodrošinātu NVD (reizi ceturksnī) ar nepieciešamajiem datiem;</w:t>
            </w:r>
          </w:p>
          <w:p w:rsidR="006A79E6" w:rsidRPr="00950166" w:rsidRDefault="006A79E6" w:rsidP="00BC2FFE">
            <w:pPr>
              <w:spacing w:after="0" w:line="60" w:lineRule="atLeast"/>
              <w:jc w:val="both"/>
              <w:rPr>
                <w:rFonts w:ascii="Times New Roman" w:hAnsi="Times New Roman"/>
                <w:b/>
                <w:sz w:val="24"/>
                <w:szCs w:val="24"/>
                <w:lang w:val="lv-LV"/>
              </w:rPr>
            </w:pPr>
            <w:r w:rsidRPr="00950166">
              <w:rPr>
                <w:rFonts w:ascii="Times New Roman" w:hAnsi="Times New Roman"/>
                <w:b/>
                <w:sz w:val="24"/>
                <w:szCs w:val="24"/>
                <w:lang w:val="lv-LV"/>
              </w:rPr>
              <w:t>15 tūkst.latu</w:t>
            </w:r>
            <w:r w:rsidRPr="00950166">
              <w:rPr>
                <w:rFonts w:ascii="Times New Roman" w:hAnsi="Times New Roman"/>
                <w:sz w:val="24"/>
                <w:szCs w:val="24"/>
                <w:lang w:val="lv-LV"/>
              </w:rPr>
              <w:t xml:space="preserve"> - Veselības un darbspēju ekspertīzes ārstu valsts komisijas sistēmas „Invaliditātes informatīvā sistēma” uzlabojumiem un papildinājumiem, lai nodrošinātu NVD (reizi ceturksnī) ar nepieciešamajiem datiem;</w:t>
            </w:r>
          </w:p>
          <w:p w:rsidR="006A79E6" w:rsidRPr="00950166" w:rsidRDefault="006A79E6" w:rsidP="00BC2FFE">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15 tūkst.latu</w:t>
            </w:r>
            <w:r w:rsidRPr="00950166">
              <w:rPr>
                <w:rFonts w:ascii="Times New Roman" w:hAnsi="Times New Roman"/>
                <w:sz w:val="24"/>
                <w:szCs w:val="24"/>
                <w:lang w:val="lv-LV"/>
              </w:rPr>
              <w:t xml:space="preserve"> – Nodarbinātības  valsts aģentūras sistēmas „Bezdarbnieku uzskaites un reģistrēto vakanču informācijas sistēma” uzlabojumiem un  papildinājumiem, lai nodrošinātu NVD (reizi ceturksnī) ar nepieciešamajiem datiem;</w:t>
            </w:r>
          </w:p>
          <w:p w:rsidR="006A79E6" w:rsidRPr="00950166" w:rsidRDefault="006A79E6" w:rsidP="00F754F1">
            <w:pPr>
              <w:spacing w:after="0" w:line="60" w:lineRule="atLeast"/>
              <w:jc w:val="both"/>
              <w:rPr>
                <w:rFonts w:ascii="Times New Roman" w:hAnsi="Times New Roman"/>
                <w:b/>
                <w:sz w:val="24"/>
                <w:szCs w:val="24"/>
                <w:lang w:val="lv-LV"/>
              </w:rPr>
            </w:pPr>
            <w:r w:rsidRPr="00950166">
              <w:rPr>
                <w:rFonts w:ascii="Times New Roman" w:hAnsi="Times New Roman"/>
                <w:b/>
                <w:sz w:val="24"/>
                <w:szCs w:val="24"/>
                <w:u w:val="single"/>
                <w:lang w:val="lv-LV"/>
              </w:rPr>
              <w:t>Izglītības un zinātnes ministrijai 30 tūkst.latu</w:t>
            </w:r>
            <w:r w:rsidRPr="00950166">
              <w:rPr>
                <w:rFonts w:ascii="Times New Roman" w:hAnsi="Times New Roman"/>
                <w:b/>
                <w:sz w:val="24"/>
                <w:szCs w:val="24"/>
                <w:lang w:val="lv-LV"/>
              </w:rPr>
              <w:t>, t.sk.:</w:t>
            </w:r>
          </w:p>
          <w:p w:rsidR="006A79E6" w:rsidRPr="00950166" w:rsidRDefault="006A79E6" w:rsidP="00BC2FFE">
            <w:pPr>
              <w:spacing w:after="0" w:line="60" w:lineRule="atLeast"/>
              <w:jc w:val="both"/>
              <w:rPr>
                <w:rFonts w:ascii="Times New Roman" w:hAnsi="Times New Roman"/>
                <w:b/>
                <w:sz w:val="24"/>
                <w:szCs w:val="24"/>
                <w:lang w:val="lv-LV"/>
              </w:rPr>
            </w:pPr>
            <w:r w:rsidRPr="00950166">
              <w:rPr>
                <w:rFonts w:ascii="Times New Roman" w:hAnsi="Times New Roman"/>
                <w:b/>
                <w:sz w:val="24"/>
                <w:szCs w:val="24"/>
                <w:lang w:val="lv-LV"/>
              </w:rPr>
              <w:t>20 tūkst.latu</w:t>
            </w:r>
            <w:r w:rsidRPr="00950166">
              <w:rPr>
                <w:rFonts w:ascii="Times New Roman" w:hAnsi="Times New Roman"/>
                <w:sz w:val="24"/>
                <w:szCs w:val="24"/>
                <w:lang w:val="lv-LV"/>
              </w:rPr>
              <w:t xml:space="preserve"> – Izglītības un zinātnes ministrijas sistēmas  „Valsts izglītības informācijas sistēmas” uzlabojumiem un  papildinājumiem, lai nodrošinātu NVD (reizi ceturksnī) ar nepieciešamajiem datiem;</w:t>
            </w:r>
          </w:p>
          <w:p w:rsidR="006A79E6" w:rsidRPr="00950166" w:rsidRDefault="006A79E6" w:rsidP="009B61BF">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 xml:space="preserve">10 tūkst.latu </w:t>
            </w:r>
            <w:r w:rsidRPr="00950166">
              <w:rPr>
                <w:rFonts w:ascii="Times New Roman" w:hAnsi="Times New Roman"/>
                <w:sz w:val="24"/>
                <w:szCs w:val="24"/>
                <w:lang w:val="lv-LV"/>
              </w:rPr>
              <w:t>– jaunas Izglītības un zinātnes ministrijas   sistēmas izveidei, lai nodrošinātu NVD (reizi ceturksnī) ar nepieciešamajiem datiem par personām, kas ir vecumā no 18 līdz 26 gadiem un ir pilna laika students, kā arī 9 mēnešus pēc šī statusa zaudēšanas;</w:t>
            </w:r>
          </w:p>
          <w:p w:rsidR="006A79E6" w:rsidRPr="00950166" w:rsidRDefault="006A79E6" w:rsidP="00F754F1">
            <w:pPr>
              <w:spacing w:after="0" w:line="60" w:lineRule="atLeast"/>
              <w:jc w:val="both"/>
              <w:rPr>
                <w:rFonts w:ascii="Times New Roman" w:hAnsi="Times New Roman"/>
                <w:b/>
                <w:sz w:val="24"/>
                <w:szCs w:val="24"/>
                <w:lang w:val="lv-LV"/>
              </w:rPr>
            </w:pPr>
            <w:r w:rsidRPr="00950166">
              <w:rPr>
                <w:rFonts w:ascii="Times New Roman" w:hAnsi="Times New Roman"/>
                <w:b/>
                <w:sz w:val="24"/>
                <w:szCs w:val="24"/>
                <w:u w:val="single"/>
                <w:lang w:val="lv-LV"/>
              </w:rPr>
              <w:t>Iekšlietu ministrijai 30 tūkst.latu</w:t>
            </w:r>
            <w:r w:rsidRPr="00950166">
              <w:rPr>
                <w:rFonts w:ascii="Times New Roman" w:hAnsi="Times New Roman"/>
                <w:b/>
                <w:sz w:val="24"/>
                <w:szCs w:val="24"/>
                <w:lang w:val="lv-LV"/>
              </w:rPr>
              <w:t>, t.sk.:</w:t>
            </w:r>
          </w:p>
          <w:p w:rsidR="006A79E6" w:rsidRPr="00950166" w:rsidRDefault="006A79E6" w:rsidP="009B61BF">
            <w:pPr>
              <w:spacing w:after="0" w:line="60" w:lineRule="atLeast"/>
              <w:jc w:val="both"/>
              <w:rPr>
                <w:rFonts w:ascii="Times New Roman" w:hAnsi="Times New Roman"/>
                <w:b/>
                <w:sz w:val="24"/>
                <w:szCs w:val="24"/>
                <w:lang w:val="lv-LV"/>
              </w:rPr>
            </w:pPr>
            <w:r w:rsidRPr="00950166">
              <w:rPr>
                <w:rFonts w:ascii="Times New Roman" w:hAnsi="Times New Roman"/>
                <w:b/>
                <w:sz w:val="24"/>
                <w:szCs w:val="24"/>
                <w:lang w:val="lv-LV"/>
              </w:rPr>
              <w:t>30 tūkst.latu</w:t>
            </w:r>
            <w:r w:rsidRPr="00950166">
              <w:rPr>
                <w:rFonts w:ascii="Times New Roman" w:hAnsi="Times New Roman"/>
                <w:sz w:val="24"/>
                <w:szCs w:val="24"/>
                <w:lang w:val="lv-LV"/>
              </w:rPr>
              <w:t xml:space="preserve"> -  Pilsonības un migrācijas lietu pārvaldes Iedzīvotāju reģistra sistēmas uzlabojumiem un  papildinājumiem, lai nodrošinātu NVD (reizi ceturksnī) ar nepieciešamajiem datiem;</w:t>
            </w:r>
          </w:p>
          <w:p w:rsidR="006A79E6" w:rsidRPr="00950166" w:rsidRDefault="006A79E6" w:rsidP="009B61BF">
            <w:pPr>
              <w:spacing w:after="0" w:line="60" w:lineRule="atLeast"/>
              <w:jc w:val="both"/>
              <w:rPr>
                <w:rFonts w:ascii="Times New Roman" w:hAnsi="Times New Roman"/>
                <w:b/>
                <w:sz w:val="24"/>
                <w:szCs w:val="24"/>
                <w:lang w:val="lv-LV"/>
              </w:rPr>
            </w:pPr>
            <w:r w:rsidRPr="00950166">
              <w:rPr>
                <w:rFonts w:ascii="Times New Roman" w:hAnsi="Times New Roman"/>
                <w:b/>
                <w:sz w:val="24"/>
                <w:szCs w:val="24"/>
                <w:u w:val="single"/>
                <w:lang w:val="lv-LV"/>
              </w:rPr>
              <w:t>Tieslietu ministrijai 10 tūkst.latu</w:t>
            </w:r>
            <w:r w:rsidRPr="00950166">
              <w:rPr>
                <w:rFonts w:ascii="Times New Roman" w:hAnsi="Times New Roman"/>
                <w:b/>
                <w:sz w:val="24"/>
                <w:szCs w:val="24"/>
                <w:lang w:val="lv-LV"/>
              </w:rPr>
              <w:t>, t.sk.:</w:t>
            </w:r>
          </w:p>
          <w:p w:rsidR="006A79E6" w:rsidRPr="00950166" w:rsidRDefault="006A79E6" w:rsidP="00531A87">
            <w:pPr>
              <w:spacing w:after="0" w:line="60" w:lineRule="atLeast"/>
              <w:jc w:val="both"/>
              <w:rPr>
                <w:rFonts w:ascii="Times New Roman" w:hAnsi="Times New Roman"/>
                <w:b/>
                <w:sz w:val="24"/>
                <w:szCs w:val="24"/>
                <w:lang w:val="lv-LV"/>
              </w:rPr>
            </w:pPr>
            <w:r w:rsidRPr="00950166">
              <w:rPr>
                <w:rFonts w:ascii="Times New Roman" w:hAnsi="Times New Roman"/>
                <w:b/>
                <w:sz w:val="24"/>
                <w:szCs w:val="24"/>
                <w:lang w:val="lv-LV"/>
              </w:rPr>
              <w:lastRenderedPageBreak/>
              <w:t>10 tūkst.latu</w:t>
            </w:r>
            <w:r w:rsidRPr="00950166">
              <w:rPr>
                <w:rFonts w:ascii="Times New Roman" w:hAnsi="Times New Roman"/>
                <w:sz w:val="24"/>
                <w:szCs w:val="24"/>
                <w:lang w:val="lv-LV"/>
              </w:rPr>
              <w:t xml:space="preserve"> -  ieslodzījumu vietu pārvaldes sistēmas  „Ieslodzīto informācijas sistēma” uzlabojumiem un  papildinājumiem, lai nodrošinātu NVD (reizi ceturksnī) ar nepieciešamajiem datiem;</w:t>
            </w:r>
          </w:p>
          <w:p w:rsidR="006A79E6" w:rsidRPr="00950166" w:rsidRDefault="006A79E6" w:rsidP="00F754F1">
            <w:pPr>
              <w:spacing w:after="0" w:line="60" w:lineRule="atLeast"/>
              <w:jc w:val="both"/>
              <w:rPr>
                <w:rFonts w:ascii="Times New Roman" w:hAnsi="Times New Roman"/>
                <w:b/>
                <w:sz w:val="24"/>
                <w:szCs w:val="24"/>
                <w:lang w:val="lv-LV"/>
              </w:rPr>
            </w:pPr>
            <w:r w:rsidRPr="00950166">
              <w:rPr>
                <w:rFonts w:ascii="Times New Roman" w:hAnsi="Times New Roman"/>
                <w:b/>
                <w:sz w:val="24"/>
                <w:szCs w:val="24"/>
                <w:u w:val="single"/>
                <w:lang w:val="lv-LV"/>
              </w:rPr>
              <w:t>Veselības ministrijai 125 tūkst.latu</w:t>
            </w:r>
            <w:r w:rsidRPr="00950166">
              <w:rPr>
                <w:rFonts w:ascii="Times New Roman" w:hAnsi="Times New Roman"/>
                <w:b/>
                <w:sz w:val="24"/>
                <w:szCs w:val="24"/>
                <w:lang w:val="lv-LV"/>
              </w:rPr>
              <w:t>, t.sk.:</w:t>
            </w:r>
          </w:p>
          <w:p w:rsidR="006A79E6" w:rsidRPr="00950166" w:rsidRDefault="006A79E6" w:rsidP="00F754F1">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120 tūkst.latu</w:t>
            </w:r>
            <w:r w:rsidRPr="00950166">
              <w:rPr>
                <w:rFonts w:ascii="Times New Roman" w:hAnsi="Times New Roman"/>
                <w:sz w:val="24"/>
                <w:szCs w:val="24"/>
                <w:lang w:val="lv-LV"/>
              </w:rPr>
              <w:t xml:space="preserve"> – NVD Vadības informācijas sistēmas papildinājumiem un uzlabojumiem, lai saslēgtos ar visām iepriekš minētajām sistēmām, nodrošinot, ka ārstniecības iestādēs ārstniecības personām ir pieejama 1.reizi ceturksnī aktualizēta informācija par iedzīvotājiem, kuriem neatkarīgi no 1.modelī ietverto nodokļu aprēķināšanas vai neaprēķināšanas  fakta no  Latvijas valsts ir jānodrošina pamatpakalpojumi, kā arī informācija par iedzīvotājiem (un to laulātajiem) par kuriem ir aprēķināts konkrētais nodoklis, kā arī informācija par iedzīvotāju kategorijām, kurām pienākas pārējā (plānveida) valsts apmaksātā veselības aprūpe;</w:t>
            </w:r>
          </w:p>
          <w:p w:rsidR="006A79E6" w:rsidRPr="00950166" w:rsidRDefault="006A79E6" w:rsidP="00E933BB">
            <w:pPr>
              <w:spacing w:after="0" w:line="60" w:lineRule="atLeast"/>
              <w:jc w:val="both"/>
              <w:rPr>
                <w:rFonts w:ascii="Times New Roman" w:hAnsi="Times New Roman"/>
                <w:b/>
                <w:sz w:val="24"/>
                <w:szCs w:val="24"/>
                <w:lang w:val="lv-LV"/>
              </w:rPr>
            </w:pPr>
            <w:r w:rsidRPr="00950166">
              <w:rPr>
                <w:rFonts w:ascii="Times New Roman" w:hAnsi="Times New Roman"/>
                <w:b/>
                <w:sz w:val="24"/>
                <w:szCs w:val="24"/>
                <w:lang w:val="lv-LV"/>
              </w:rPr>
              <w:t>5 tūkst.latu</w:t>
            </w:r>
            <w:r w:rsidRPr="00950166">
              <w:rPr>
                <w:rFonts w:ascii="Times New Roman" w:hAnsi="Times New Roman"/>
                <w:sz w:val="24"/>
                <w:szCs w:val="24"/>
                <w:lang w:val="lv-LV"/>
              </w:rPr>
              <w:t xml:space="preserve"> – VSIA „Paula Stradiņa klīniskā universitātes slimnīca” sistēmas uzlabojumiem un  papildinājumiem, lai nodrošinātu NVD (reizi ceturksnī) ar nepieciešamajiem datiem.</w:t>
            </w:r>
          </w:p>
          <w:p w:rsidR="006A79E6" w:rsidRPr="00950166" w:rsidRDefault="006A79E6" w:rsidP="00EA0549">
            <w:pPr>
              <w:spacing w:after="0" w:line="240" w:lineRule="atLeast"/>
              <w:rPr>
                <w:rFonts w:ascii="Times New Roman" w:hAnsi="Times New Roman"/>
                <w:b/>
                <w:sz w:val="24"/>
                <w:szCs w:val="24"/>
                <w:u w:val="single"/>
                <w:lang w:val="lv-LV"/>
              </w:rPr>
            </w:pPr>
          </w:p>
          <w:p w:rsidR="006A79E6" w:rsidRPr="00950166" w:rsidRDefault="006A79E6" w:rsidP="00EA0549">
            <w:pPr>
              <w:spacing w:after="0" w:line="240" w:lineRule="atLeast"/>
              <w:rPr>
                <w:rFonts w:ascii="Times New Roman" w:hAnsi="Times New Roman"/>
                <w:b/>
                <w:sz w:val="24"/>
                <w:szCs w:val="24"/>
                <w:u w:val="single"/>
                <w:lang w:val="lv-LV"/>
              </w:rPr>
            </w:pPr>
            <w:r w:rsidRPr="00950166">
              <w:rPr>
                <w:rFonts w:ascii="Times New Roman" w:hAnsi="Times New Roman"/>
                <w:b/>
                <w:sz w:val="24"/>
                <w:szCs w:val="24"/>
                <w:u w:val="single"/>
                <w:lang w:val="lv-LV"/>
              </w:rPr>
              <w:t>2014.gadā – 59 335 tūkst.latu</w:t>
            </w:r>
          </w:p>
          <w:p w:rsidR="006A79E6" w:rsidRPr="00950166" w:rsidRDefault="006A79E6" w:rsidP="00EA0549">
            <w:pPr>
              <w:spacing w:after="0" w:line="240" w:lineRule="atLeast"/>
              <w:rPr>
                <w:rFonts w:ascii="Times New Roman" w:hAnsi="Times New Roman"/>
                <w:b/>
                <w:sz w:val="24"/>
                <w:szCs w:val="24"/>
                <w:lang w:val="lv-LV"/>
              </w:rPr>
            </w:pPr>
            <w:r w:rsidRPr="00950166">
              <w:rPr>
                <w:rFonts w:ascii="Times New Roman" w:hAnsi="Times New Roman"/>
                <w:b/>
                <w:sz w:val="24"/>
                <w:szCs w:val="24"/>
                <w:u w:val="single"/>
                <w:lang w:val="lv-LV"/>
              </w:rPr>
              <w:t>Veselības ministrijai 59 297 tūkst.latu</w:t>
            </w:r>
            <w:r w:rsidRPr="00950166">
              <w:rPr>
                <w:rFonts w:ascii="Times New Roman" w:hAnsi="Times New Roman"/>
                <w:b/>
                <w:sz w:val="24"/>
                <w:szCs w:val="24"/>
                <w:lang w:val="lv-LV"/>
              </w:rPr>
              <w:t>, t.sk.:</w:t>
            </w:r>
          </w:p>
          <w:p w:rsidR="006A79E6" w:rsidRPr="00950166" w:rsidRDefault="006A79E6" w:rsidP="00EA0549">
            <w:pPr>
              <w:spacing w:after="0" w:line="240" w:lineRule="atLeast"/>
              <w:rPr>
                <w:rFonts w:ascii="Times New Roman" w:hAnsi="Times New Roman"/>
                <w:b/>
                <w:sz w:val="24"/>
                <w:szCs w:val="24"/>
                <w:lang w:val="lv-LV"/>
              </w:rPr>
            </w:pPr>
            <w:r w:rsidRPr="00950166">
              <w:rPr>
                <w:rFonts w:ascii="Times New Roman" w:hAnsi="Times New Roman"/>
                <w:i/>
                <w:sz w:val="24"/>
                <w:szCs w:val="24"/>
                <w:lang w:val="lv-LV"/>
              </w:rPr>
              <w:t>(57 341 tūkst.latu 1.pielikumā minēto pasākumu realizācijai)</w:t>
            </w:r>
          </w:p>
          <w:p w:rsidR="006A79E6" w:rsidRPr="00950166" w:rsidRDefault="006A79E6" w:rsidP="00022262">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35 417 tūkst.latu</w:t>
            </w:r>
            <w:r w:rsidRPr="00950166">
              <w:rPr>
                <w:rFonts w:ascii="Times New Roman" w:hAnsi="Times New Roman"/>
                <w:sz w:val="24"/>
                <w:szCs w:val="24"/>
                <w:lang w:val="lv-LV"/>
              </w:rPr>
              <w:t xml:space="preserve"> – Ārstniecības personu darba samaksas paaugstināšanai (veselības aprūpes pakalpojumu tarifos), nodrošinot darba samaksas pieaugumu ārstiem un funkcionālajiem speciālistiem par 124 latiem (no 524 latiem līdz 648 latiem), ārstniecības un pacientu aprūpes personas un funkcionālo speciālistu asistentiem par 76 latiem (no 314 latiem līdz 390 latiem), ārstniecības un pacientu aprūpes atbalsta personām par 48 latiem (no 210 latiem līdz 258 latiem); </w:t>
            </w:r>
          </w:p>
          <w:p w:rsidR="006A79E6" w:rsidRPr="00950166" w:rsidRDefault="006A79E6" w:rsidP="00022262">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5 308 tūkst latu</w:t>
            </w:r>
            <w:r w:rsidRPr="00950166">
              <w:rPr>
                <w:rFonts w:ascii="Times New Roman" w:hAnsi="Times New Roman"/>
                <w:sz w:val="24"/>
                <w:szCs w:val="24"/>
                <w:lang w:val="lv-LV"/>
              </w:rPr>
              <w:t xml:space="preserve"> – Pacientu iemaksu un līdzmaksājumu stacionārā samazinājums par 50%, nodrošinot pacientu iemaksas par stacionārajiem veselības aprūpes pakalpojumiem samazinājumu psihiatriskajās un aprūpes ārstniecības iestādēs no 5,00 latiem līdz 2,00 latiem, bet pārējās ārstniecības iestādēs no 9,50 latiem līdz 4,50 latiem un līdzmaksājuma samazinājumu no 30 latiem līdz 15 latiem;</w:t>
            </w:r>
          </w:p>
          <w:p w:rsidR="006A79E6" w:rsidRPr="00950166" w:rsidRDefault="006A79E6" w:rsidP="00022262">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2 000 tūkst.latu</w:t>
            </w:r>
            <w:r w:rsidRPr="00950166">
              <w:rPr>
                <w:rFonts w:ascii="Times New Roman" w:hAnsi="Times New Roman"/>
                <w:sz w:val="24"/>
                <w:szCs w:val="24"/>
                <w:lang w:val="lv-LV"/>
              </w:rPr>
              <w:t xml:space="preserve"> – Kompensējamo medikamentu un materiālu kompensācijas apmēra izmaiņas no 50% uz 75%;</w:t>
            </w:r>
          </w:p>
          <w:p w:rsidR="006A79E6" w:rsidRPr="00950166" w:rsidRDefault="006A79E6" w:rsidP="00022262">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lastRenderedPageBreak/>
              <w:t>3 611 tūkst.latu</w:t>
            </w:r>
            <w:r w:rsidRPr="00950166">
              <w:rPr>
                <w:rFonts w:ascii="Times New Roman" w:hAnsi="Times New Roman"/>
                <w:sz w:val="24"/>
                <w:szCs w:val="24"/>
                <w:lang w:val="lv-LV"/>
              </w:rPr>
              <w:t xml:space="preserve"> – Kompensējamo medikamentu un materiālu sistēmas pacientu skaita pieaugums esošām diagnozēm (18 057 pacientiem);</w:t>
            </w:r>
          </w:p>
          <w:p w:rsidR="006A79E6" w:rsidRPr="00950166" w:rsidRDefault="006A79E6" w:rsidP="00022262">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3 039 tūkst.latu</w:t>
            </w:r>
            <w:r w:rsidRPr="00950166">
              <w:rPr>
                <w:rFonts w:ascii="Times New Roman" w:hAnsi="Times New Roman"/>
                <w:sz w:val="24"/>
                <w:szCs w:val="24"/>
                <w:lang w:val="lv-LV"/>
              </w:rPr>
              <w:t xml:space="preserve"> – Ambulatoro veselības aprūpes pakalpojumu gaidīšanas rindu samazināšana dienas stacionārā sniegtajiem pakalpojumiem, nodrošinot 60 069 pakalpojumus;</w:t>
            </w:r>
          </w:p>
          <w:p w:rsidR="006A79E6" w:rsidRPr="00950166" w:rsidRDefault="006A79E6" w:rsidP="00022262">
            <w:pPr>
              <w:spacing w:after="0" w:line="60" w:lineRule="atLeast"/>
              <w:jc w:val="both"/>
              <w:rPr>
                <w:rFonts w:ascii="Times New Roman" w:hAnsi="Times New Roman"/>
                <w:b/>
                <w:sz w:val="24"/>
                <w:szCs w:val="24"/>
                <w:lang w:val="lv-LV"/>
              </w:rPr>
            </w:pPr>
            <w:r w:rsidRPr="00950166">
              <w:rPr>
                <w:rFonts w:ascii="Times New Roman" w:hAnsi="Times New Roman"/>
                <w:b/>
                <w:sz w:val="24"/>
                <w:szCs w:val="24"/>
                <w:lang w:val="lv-LV"/>
              </w:rPr>
              <w:t>3 075 tūkst.latu</w:t>
            </w:r>
            <w:r w:rsidRPr="00950166">
              <w:rPr>
                <w:rFonts w:ascii="Times New Roman" w:hAnsi="Times New Roman"/>
                <w:sz w:val="24"/>
                <w:szCs w:val="24"/>
                <w:lang w:val="lv-LV"/>
              </w:rPr>
              <w:t xml:space="preserve"> – Ambulatoro veselības aprūpes pakalpojumu gaidīšanas rindu samazināšana speciālistu pakalpojumiem, nodrošinot 232 268 pakalpojumus;</w:t>
            </w:r>
          </w:p>
          <w:p w:rsidR="006A79E6" w:rsidRPr="00950166" w:rsidRDefault="006A79E6" w:rsidP="00022262">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3 425 tūkst.latu</w:t>
            </w:r>
            <w:r w:rsidRPr="00950166">
              <w:rPr>
                <w:rFonts w:ascii="Times New Roman" w:hAnsi="Times New Roman"/>
                <w:sz w:val="24"/>
                <w:szCs w:val="24"/>
                <w:lang w:val="lv-LV"/>
              </w:rPr>
              <w:t xml:space="preserve"> – Ambulatoro veselības aprūpes pakalpojumu gaidīšanas rindu samazināšana izmeklējumiem un terapijai, nodrošinot 288 786 izmeklējumus un terapijas;</w:t>
            </w:r>
          </w:p>
          <w:p w:rsidR="006A79E6" w:rsidRPr="00950166" w:rsidRDefault="006A79E6" w:rsidP="00022262">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566 tūkst.latu</w:t>
            </w:r>
            <w:r w:rsidRPr="00950166">
              <w:rPr>
                <w:rFonts w:ascii="Times New Roman" w:hAnsi="Times New Roman"/>
                <w:sz w:val="24"/>
                <w:szCs w:val="24"/>
                <w:lang w:val="lv-LV"/>
              </w:rPr>
              <w:t xml:space="preserve"> – Rindu samazināšana endoprotezēšanas pakalpojumiem, nodrošinot  400 pakalpojumus;</w:t>
            </w:r>
          </w:p>
          <w:p w:rsidR="006A79E6" w:rsidRPr="00950166" w:rsidRDefault="006A79E6" w:rsidP="00022262">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238 tūkst.latu</w:t>
            </w:r>
            <w:r w:rsidRPr="00950166">
              <w:rPr>
                <w:rFonts w:ascii="Times New Roman" w:hAnsi="Times New Roman"/>
                <w:sz w:val="24"/>
                <w:szCs w:val="24"/>
                <w:lang w:val="lv-LV"/>
              </w:rPr>
              <w:t xml:space="preserve"> – Rehabilitācijas pakalpojumu apjoma palielināšana bērniem, nodrošinot 514 pakalpojumus;</w:t>
            </w:r>
          </w:p>
          <w:p w:rsidR="006A79E6" w:rsidRPr="00950166" w:rsidRDefault="006A79E6" w:rsidP="00022262">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270 tūkst.latu</w:t>
            </w:r>
            <w:r w:rsidRPr="00950166">
              <w:rPr>
                <w:rFonts w:ascii="Times New Roman" w:hAnsi="Times New Roman"/>
                <w:sz w:val="24"/>
                <w:szCs w:val="24"/>
                <w:lang w:val="lv-LV"/>
              </w:rPr>
              <w:t xml:space="preserve"> – Rehabilitācijas pakalpojumu apjoma palielināšana pieaugušajiem, nodrošinot 620 pakalpojumus;</w:t>
            </w:r>
          </w:p>
          <w:p w:rsidR="006A79E6" w:rsidRPr="00950166" w:rsidRDefault="006A79E6" w:rsidP="00022262">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392 tūkst.latu</w:t>
            </w:r>
            <w:r w:rsidRPr="00950166">
              <w:rPr>
                <w:rFonts w:ascii="Times New Roman" w:hAnsi="Times New Roman"/>
                <w:sz w:val="24"/>
                <w:szCs w:val="24"/>
                <w:lang w:val="lv-LV"/>
              </w:rPr>
              <w:t xml:space="preserve"> – Zobārstniecības pakalpojumu apjoma palielināšana (iekļaujot jaunus pakalpojumu veidus, nodrošinot 44 585 manipulācijas</w:t>
            </w:r>
          </w:p>
          <w:p w:rsidR="006A79E6" w:rsidRPr="00950166" w:rsidRDefault="006A79E6" w:rsidP="00022262">
            <w:pPr>
              <w:spacing w:after="0" w:line="60" w:lineRule="atLeast"/>
              <w:jc w:val="both"/>
              <w:rPr>
                <w:rFonts w:ascii="Times New Roman" w:hAnsi="Times New Roman"/>
                <w:i/>
                <w:sz w:val="24"/>
                <w:szCs w:val="24"/>
                <w:lang w:val="lv-LV"/>
              </w:rPr>
            </w:pPr>
            <w:r w:rsidRPr="00950166">
              <w:rPr>
                <w:rFonts w:ascii="Times New Roman" w:hAnsi="Times New Roman"/>
                <w:i/>
                <w:sz w:val="24"/>
                <w:szCs w:val="24"/>
                <w:lang w:val="lv-LV"/>
              </w:rPr>
              <w:t>un</w:t>
            </w:r>
          </w:p>
          <w:p w:rsidR="006A79E6" w:rsidRPr="00950166" w:rsidRDefault="006A79E6" w:rsidP="00022262">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19 tūkst.latu</w:t>
            </w:r>
            <w:r w:rsidRPr="00950166">
              <w:rPr>
                <w:rFonts w:ascii="Times New Roman" w:hAnsi="Times New Roman"/>
                <w:sz w:val="24"/>
                <w:szCs w:val="24"/>
                <w:lang w:val="lv-LV"/>
              </w:rPr>
              <w:t xml:space="preserve"> izveidoto IT sistēmu uzturēšanai NVD un VSIA „Paula Stradiņa klīniskā universitātes slimnīca” (15% apmērā no sistēmas izveides izmaksām);</w:t>
            </w:r>
          </w:p>
          <w:p w:rsidR="006A79E6" w:rsidRPr="00950166" w:rsidRDefault="006A79E6" w:rsidP="00022262">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-124 tūkst.latu</w:t>
            </w:r>
            <w:r w:rsidRPr="00950166">
              <w:rPr>
                <w:rFonts w:ascii="Times New Roman" w:hAnsi="Times New Roman"/>
                <w:sz w:val="24"/>
                <w:szCs w:val="24"/>
                <w:lang w:val="lv-LV"/>
              </w:rPr>
              <w:t>, kas 2013.gadā paredzēti vienreizējo pasākumu – eiro ieviešana un ES prezidentūras sagatavošanai – nodrošināšanai, bet no 2014.gada tiks novirzīti veselības aprūpes pakalpojumu nodrošināšanai;</w:t>
            </w:r>
          </w:p>
          <w:p w:rsidR="006A79E6" w:rsidRPr="00950166" w:rsidRDefault="006A79E6" w:rsidP="00022262">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2 061 tūkst.latu</w:t>
            </w:r>
            <w:r w:rsidRPr="00950166">
              <w:rPr>
                <w:rFonts w:ascii="Times New Roman" w:hAnsi="Times New Roman"/>
                <w:sz w:val="24"/>
                <w:szCs w:val="24"/>
                <w:lang w:val="lv-LV"/>
              </w:rPr>
              <w:t>, lai nodrošinātu ES fondu un citu ārvalstu finanšu instrumentu finasējumu 38 milj</w:t>
            </w:r>
            <w:smartTag w:uri="schemas-tilde-lv/tildestengine" w:element="currency2">
              <w:smartTagPr>
                <w:attr w:name="currency_text" w:val="latu"/>
                <w:attr w:name="currency_value" w:val="."/>
                <w:attr w:name="currency_key" w:val="LVL"/>
                <w:attr w:name="currency_id" w:val="48"/>
              </w:smartTagPr>
              <w:r w:rsidRPr="00950166">
                <w:rPr>
                  <w:rFonts w:ascii="Times New Roman" w:hAnsi="Times New Roman"/>
                  <w:sz w:val="24"/>
                  <w:szCs w:val="24"/>
                  <w:lang w:val="lv-LV"/>
                </w:rPr>
                <w:t>.latu</w:t>
              </w:r>
            </w:smartTag>
            <w:r w:rsidRPr="00950166">
              <w:rPr>
                <w:rFonts w:ascii="Times New Roman" w:hAnsi="Times New Roman"/>
                <w:sz w:val="24"/>
                <w:szCs w:val="24"/>
                <w:lang w:val="lv-LV"/>
              </w:rPr>
              <w:t xml:space="preserve"> apmērā, kas ir indiaktīvs apjoms, kas noteikts pamatojoties uz 2011., 2012. un 2013.gada vidējo finansējumu ES fondiem un citiem ārvalstu finanšu instrumentiem;</w:t>
            </w:r>
          </w:p>
          <w:p w:rsidR="006A79E6" w:rsidRPr="00950166" w:rsidRDefault="006A79E6" w:rsidP="00022262">
            <w:pPr>
              <w:spacing w:after="0" w:line="60" w:lineRule="atLeast"/>
              <w:jc w:val="both"/>
              <w:rPr>
                <w:rFonts w:ascii="Times New Roman" w:hAnsi="Times New Roman"/>
                <w:sz w:val="24"/>
                <w:szCs w:val="24"/>
                <w:lang w:val="lv-LV"/>
              </w:rPr>
            </w:pPr>
            <w:r w:rsidRPr="00950166">
              <w:rPr>
                <w:rFonts w:ascii="Times New Roman" w:hAnsi="Times New Roman"/>
                <w:b/>
                <w:sz w:val="24"/>
                <w:szCs w:val="24"/>
                <w:u w:val="single"/>
                <w:lang w:val="lv-LV"/>
              </w:rPr>
              <w:t>Finanšu ministrijai 15 tūkst.latu</w:t>
            </w:r>
            <w:r w:rsidRPr="00950166">
              <w:rPr>
                <w:rFonts w:ascii="Times New Roman" w:hAnsi="Times New Roman"/>
                <w:sz w:val="24"/>
                <w:szCs w:val="24"/>
                <w:lang w:val="lv-LV"/>
              </w:rPr>
              <w:t xml:space="preserve"> IT sistēmu uzturēšanai VID (15% apmērā no sistēmas izveides izmaksām);</w:t>
            </w:r>
          </w:p>
          <w:p w:rsidR="006A79E6" w:rsidRPr="00950166" w:rsidRDefault="006A79E6" w:rsidP="00022262">
            <w:pPr>
              <w:spacing w:after="0" w:line="60" w:lineRule="atLeast"/>
              <w:jc w:val="both"/>
              <w:rPr>
                <w:rFonts w:ascii="Times New Roman" w:hAnsi="Times New Roman"/>
                <w:sz w:val="24"/>
                <w:szCs w:val="24"/>
                <w:lang w:val="lv-LV"/>
              </w:rPr>
            </w:pPr>
            <w:r w:rsidRPr="00950166">
              <w:rPr>
                <w:rFonts w:ascii="Times New Roman" w:hAnsi="Times New Roman"/>
                <w:b/>
                <w:sz w:val="24"/>
                <w:szCs w:val="24"/>
                <w:u w:val="single"/>
                <w:lang w:val="lv-LV"/>
              </w:rPr>
              <w:t>Labklājības ministrijai 12 tūkst.latu</w:t>
            </w:r>
            <w:r w:rsidRPr="00950166">
              <w:rPr>
                <w:rFonts w:ascii="Times New Roman" w:hAnsi="Times New Roman"/>
                <w:sz w:val="24"/>
                <w:szCs w:val="24"/>
                <w:lang w:val="lv-LV"/>
              </w:rPr>
              <w:t xml:space="preserve"> IT sistēmu uzturēšanai VSAA, Veselības un darbspēju ekspertīzes ārstu valsts komisijai un Nodarbinātības valsts aģentūrai (15% apmērā no sistēmas izveides izmaksām);</w:t>
            </w:r>
          </w:p>
          <w:p w:rsidR="006A79E6" w:rsidRPr="00950166" w:rsidRDefault="006A79E6" w:rsidP="00022262">
            <w:pPr>
              <w:spacing w:after="0" w:line="60" w:lineRule="atLeast"/>
              <w:jc w:val="both"/>
              <w:rPr>
                <w:rFonts w:ascii="Times New Roman" w:hAnsi="Times New Roman"/>
                <w:sz w:val="24"/>
                <w:szCs w:val="24"/>
                <w:lang w:val="lv-LV"/>
              </w:rPr>
            </w:pPr>
            <w:r w:rsidRPr="00950166">
              <w:rPr>
                <w:rFonts w:ascii="Times New Roman" w:hAnsi="Times New Roman"/>
                <w:b/>
                <w:sz w:val="24"/>
                <w:szCs w:val="24"/>
                <w:u w:val="single"/>
                <w:lang w:val="lv-LV"/>
              </w:rPr>
              <w:lastRenderedPageBreak/>
              <w:t>Izglītības un zinātnes ministrijai 5 tūkst.latu</w:t>
            </w:r>
            <w:r w:rsidRPr="00950166">
              <w:rPr>
                <w:rFonts w:ascii="Times New Roman" w:hAnsi="Times New Roman"/>
                <w:sz w:val="24"/>
                <w:szCs w:val="24"/>
                <w:lang w:val="lv-LV"/>
              </w:rPr>
              <w:t xml:space="preserve"> IT sistēmu uzturēšanai (15% apmērā no sistēmas izveides izmaksām);</w:t>
            </w:r>
          </w:p>
          <w:p w:rsidR="006A79E6" w:rsidRPr="00950166" w:rsidRDefault="006A79E6" w:rsidP="004E5C6E">
            <w:pPr>
              <w:spacing w:after="0" w:line="60" w:lineRule="atLeast"/>
              <w:jc w:val="both"/>
              <w:rPr>
                <w:rFonts w:ascii="Times New Roman" w:hAnsi="Times New Roman"/>
                <w:sz w:val="24"/>
                <w:szCs w:val="24"/>
                <w:lang w:val="lv-LV"/>
              </w:rPr>
            </w:pPr>
            <w:r w:rsidRPr="00950166">
              <w:rPr>
                <w:rFonts w:ascii="Times New Roman" w:hAnsi="Times New Roman"/>
                <w:b/>
                <w:sz w:val="24"/>
                <w:szCs w:val="24"/>
                <w:u w:val="single"/>
                <w:lang w:val="lv-LV"/>
              </w:rPr>
              <w:t>Iekšlietu ministrijai 4 tūkst.latu</w:t>
            </w:r>
            <w:r w:rsidRPr="00950166">
              <w:rPr>
                <w:rFonts w:ascii="Times New Roman" w:hAnsi="Times New Roman"/>
                <w:sz w:val="24"/>
                <w:szCs w:val="24"/>
                <w:lang w:val="lv-LV"/>
              </w:rPr>
              <w:t xml:space="preserve"> IT sistēmu uzturēšanai Pilsonības un migrācijas lietu pārvaldei (15% apmērā no sistēmas izveides izmaksām);</w:t>
            </w:r>
          </w:p>
          <w:p w:rsidR="006A79E6" w:rsidRPr="00950166" w:rsidRDefault="006A79E6" w:rsidP="004E5C6E">
            <w:pPr>
              <w:spacing w:after="0" w:line="60" w:lineRule="atLeast"/>
              <w:jc w:val="both"/>
              <w:rPr>
                <w:rFonts w:ascii="Times New Roman" w:hAnsi="Times New Roman"/>
                <w:sz w:val="24"/>
                <w:szCs w:val="24"/>
                <w:lang w:val="lv-LV"/>
              </w:rPr>
            </w:pPr>
            <w:r w:rsidRPr="00950166">
              <w:rPr>
                <w:rFonts w:ascii="Times New Roman" w:hAnsi="Times New Roman"/>
                <w:b/>
                <w:sz w:val="24"/>
                <w:szCs w:val="24"/>
                <w:u w:val="single"/>
                <w:lang w:val="lv-LV"/>
              </w:rPr>
              <w:t>Tiesietu ministrijai 2 tūkst.latu</w:t>
            </w:r>
            <w:r w:rsidRPr="00950166">
              <w:rPr>
                <w:rFonts w:ascii="Times New Roman" w:hAnsi="Times New Roman"/>
                <w:sz w:val="24"/>
                <w:szCs w:val="24"/>
                <w:lang w:val="lv-LV"/>
              </w:rPr>
              <w:t xml:space="preserve"> IT sistēmu uzturēšanai Ieslodzījumu vietu pārvaldei (15% apmērā no sistēmas izveides izmaksām).</w:t>
            </w:r>
          </w:p>
          <w:p w:rsidR="006A79E6" w:rsidRPr="00950166" w:rsidRDefault="006A79E6" w:rsidP="00CE4CF5">
            <w:pPr>
              <w:spacing w:after="0" w:line="60" w:lineRule="atLeast"/>
              <w:rPr>
                <w:rFonts w:ascii="Times New Roman" w:hAnsi="Times New Roman"/>
                <w:b/>
                <w:sz w:val="24"/>
                <w:szCs w:val="24"/>
                <w:u w:val="single"/>
                <w:lang w:val="lv-LV"/>
              </w:rPr>
            </w:pPr>
          </w:p>
          <w:p w:rsidR="006A79E6" w:rsidRPr="00950166" w:rsidRDefault="006A79E6" w:rsidP="00CE4CF5">
            <w:pPr>
              <w:spacing w:after="0" w:line="60" w:lineRule="atLeast"/>
              <w:rPr>
                <w:rFonts w:ascii="Times New Roman" w:hAnsi="Times New Roman"/>
                <w:b/>
                <w:sz w:val="24"/>
                <w:szCs w:val="24"/>
                <w:u w:val="single"/>
                <w:lang w:val="lv-LV"/>
              </w:rPr>
            </w:pPr>
            <w:r w:rsidRPr="00950166">
              <w:rPr>
                <w:rFonts w:ascii="Times New Roman" w:hAnsi="Times New Roman"/>
                <w:b/>
                <w:sz w:val="24"/>
                <w:szCs w:val="24"/>
                <w:u w:val="single"/>
                <w:lang w:val="lv-LV"/>
              </w:rPr>
              <w:t xml:space="preserve">2015.gadā – 129 336 tūkst.latu </w:t>
            </w:r>
          </w:p>
          <w:p w:rsidR="006A79E6" w:rsidRPr="00950166" w:rsidRDefault="006A79E6" w:rsidP="00F63332">
            <w:pPr>
              <w:spacing w:after="0" w:line="240" w:lineRule="atLeast"/>
              <w:rPr>
                <w:rFonts w:ascii="Times New Roman" w:hAnsi="Times New Roman"/>
                <w:b/>
                <w:sz w:val="24"/>
                <w:szCs w:val="24"/>
                <w:lang w:val="lv-LV"/>
              </w:rPr>
            </w:pPr>
            <w:r w:rsidRPr="00950166">
              <w:rPr>
                <w:rFonts w:ascii="Times New Roman" w:hAnsi="Times New Roman"/>
                <w:b/>
                <w:sz w:val="24"/>
                <w:szCs w:val="24"/>
                <w:u w:val="single"/>
                <w:lang w:val="lv-LV"/>
              </w:rPr>
              <w:t>Veselības ministrijai 129 298 tūkst.latu</w:t>
            </w:r>
            <w:r w:rsidRPr="00950166">
              <w:rPr>
                <w:rFonts w:ascii="Times New Roman" w:hAnsi="Times New Roman"/>
                <w:b/>
                <w:sz w:val="24"/>
                <w:szCs w:val="24"/>
                <w:lang w:val="lv-LV"/>
              </w:rPr>
              <w:t>, t.sk.:</w:t>
            </w:r>
          </w:p>
          <w:p w:rsidR="006A79E6" w:rsidRPr="00950166" w:rsidRDefault="006A79E6" w:rsidP="00CE4CF5">
            <w:pPr>
              <w:spacing w:after="0" w:line="60" w:lineRule="atLeast"/>
              <w:rPr>
                <w:rFonts w:ascii="Times New Roman" w:hAnsi="Times New Roman"/>
                <w:i/>
                <w:sz w:val="24"/>
                <w:szCs w:val="24"/>
                <w:lang w:val="lv-LV"/>
              </w:rPr>
            </w:pPr>
            <w:r w:rsidRPr="00950166">
              <w:rPr>
                <w:rFonts w:ascii="Times New Roman" w:hAnsi="Times New Roman"/>
                <w:i/>
                <w:sz w:val="24"/>
                <w:szCs w:val="24"/>
                <w:lang w:val="lv-LV"/>
              </w:rPr>
              <w:t>(127 342 tūkst.latu 1.pielikumā minēto pasākumu realizācijai)</w:t>
            </w:r>
          </w:p>
          <w:p w:rsidR="006A79E6" w:rsidRPr="00950166" w:rsidRDefault="006A79E6" w:rsidP="007632CE">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56 952 tūkst.latu</w:t>
            </w:r>
            <w:r w:rsidRPr="00950166">
              <w:rPr>
                <w:rFonts w:ascii="Times New Roman" w:hAnsi="Times New Roman"/>
                <w:sz w:val="24"/>
                <w:szCs w:val="24"/>
                <w:lang w:val="lv-LV"/>
              </w:rPr>
              <w:t xml:space="preserve"> – Ārstniecības personu darba samaksas paaugstināšanai (veselības aprūpes pakalpojumu tarifos), nodrošinot darba samaksas pieaugumu ārstiem un funkcionālajiem speciālistiem par 228 latiem (no 524 latiem līdz 752 latiem), ārstniecības un pacientu aprūpes personas un funkcionālo speciālistu asistentiem par 138 latiem (no 314 latiem līdz 452 latiem), ārstniecības un pacientu aprūpes atbalsta personām par 89 latiem (no 210 latiem līdz 299 latiem);</w:t>
            </w:r>
          </w:p>
          <w:p w:rsidR="006A79E6" w:rsidRPr="00950166" w:rsidRDefault="006A79E6" w:rsidP="007632CE">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5 308 tūkst latu</w:t>
            </w:r>
            <w:r w:rsidRPr="00950166">
              <w:rPr>
                <w:rFonts w:ascii="Times New Roman" w:hAnsi="Times New Roman"/>
                <w:sz w:val="24"/>
                <w:szCs w:val="24"/>
                <w:lang w:val="lv-LV"/>
              </w:rPr>
              <w:t xml:space="preserve"> – Pacientu iemaksu un līdzmaksājumu stacionārā samazinājums par 50%, nodrošinot pacientu iemaksas par stacionārajiem veselības aprūpes pakalpojumiem samazinājumu psihiatriskajās un aprūpes ārstniecības iestādēs no 5,00 latiem līdz 2,00 latiem, bet pārējās ārstniecības iestādēs no 9,50 latiem līdz 4,50 latiem un līdzmaksājuma samazinājumu no 30 latiem līdz 15 latiem;</w:t>
            </w:r>
          </w:p>
          <w:p w:rsidR="006A79E6" w:rsidRPr="00950166" w:rsidRDefault="006A79E6" w:rsidP="007632CE">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2 000 tūkst.latu</w:t>
            </w:r>
            <w:r w:rsidRPr="00950166">
              <w:rPr>
                <w:rFonts w:ascii="Times New Roman" w:hAnsi="Times New Roman"/>
                <w:sz w:val="24"/>
                <w:szCs w:val="24"/>
                <w:lang w:val="lv-LV"/>
              </w:rPr>
              <w:t xml:space="preserve"> – Kompensējamo medikamentu un materiālu kompensācijas apmēra izmaiņas no 50% uz 75%:</w:t>
            </w:r>
          </w:p>
          <w:p w:rsidR="006A79E6" w:rsidRPr="00950166" w:rsidRDefault="006A79E6" w:rsidP="007632CE">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7 611 tūkst.latu</w:t>
            </w:r>
            <w:r w:rsidRPr="00950166">
              <w:rPr>
                <w:rFonts w:ascii="Times New Roman" w:hAnsi="Times New Roman"/>
                <w:sz w:val="24"/>
                <w:szCs w:val="24"/>
                <w:lang w:val="lv-LV"/>
              </w:rPr>
              <w:t xml:space="preserve"> – Kompensējamo medikamentu un materiālu sistēmas pacientu skaita pieaugums esošām diagnozēm (38 057 pacientiem);</w:t>
            </w:r>
          </w:p>
          <w:p w:rsidR="006A79E6" w:rsidRPr="00950166" w:rsidRDefault="006A79E6" w:rsidP="007632CE">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12 991 tūkst.latu</w:t>
            </w:r>
            <w:r w:rsidRPr="00950166">
              <w:rPr>
                <w:rFonts w:ascii="Times New Roman" w:hAnsi="Times New Roman"/>
                <w:sz w:val="24"/>
                <w:szCs w:val="24"/>
                <w:lang w:val="lv-LV"/>
              </w:rPr>
              <w:t xml:space="preserve"> – Pacientu skaita palielināšana un ierobežojumu atcelšana kompensējamo medikamentu un materiālu sistēmas C sarakstā esošajām zālēm (865 pacientiem);</w:t>
            </w:r>
          </w:p>
          <w:p w:rsidR="006A79E6" w:rsidRPr="00950166" w:rsidRDefault="006A79E6" w:rsidP="007632CE">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6 000 tūkst.latu</w:t>
            </w:r>
            <w:r w:rsidRPr="00950166">
              <w:rPr>
                <w:rFonts w:ascii="Times New Roman" w:hAnsi="Times New Roman"/>
                <w:sz w:val="24"/>
                <w:szCs w:val="24"/>
                <w:lang w:val="lv-LV"/>
              </w:rPr>
              <w:t xml:space="preserve"> – Jaunu diagnožu iekļaušana kompensējamo medikamentu un materiālu kompensācijas sistēmas (8 440 pacientiem);</w:t>
            </w:r>
          </w:p>
          <w:p w:rsidR="006A79E6" w:rsidRPr="00950166" w:rsidRDefault="006A79E6" w:rsidP="007632CE">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7 466 tūkst.latu</w:t>
            </w:r>
            <w:r w:rsidRPr="00950166">
              <w:rPr>
                <w:rFonts w:ascii="Times New Roman" w:hAnsi="Times New Roman"/>
                <w:sz w:val="24"/>
                <w:szCs w:val="24"/>
                <w:lang w:val="lv-LV"/>
              </w:rPr>
              <w:t xml:space="preserve"> – Ambulatoro veselības aprūpes pakalpojumu gaidīšanas rindu samazināšana dienas stacionārā sniegtajiem pakalpojumiem, nodrošinot 132 819 pakalpojumus;</w:t>
            </w:r>
          </w:p>
          <w:p w:rsidR="006A79E6" w:rsidRPr="00950166" w:rsidRDefault="006A79E6" w:rsidP="007632CE">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lastRenderedPageBreak/>
              <w:t>6 999 tūkst.latu</w:t>
            </w:r>
            <w:r w:rsidRPr="00950166">
              <w:rPr>
                <w:rFonts w:ascii="Times New Roman" w:hAnsi="Times New Roman"/>
                <w:sz w:val="24"/>
                <w:szCs w:val="24"/>
                <w:lang w:val="lv-LV"/>
              </w:rPr>
              <w:t xml:space="preserve"> – Ambulatoro veselības aprūpes pakalpojumu gaidīšanas rindu samazināšana speciālistu pakalpojumiem, nodrošinot 497 426 pakalpojumus;</w:t>
            </w:r>
          </w:p>
          <w:p w:rsidR="006A79E6" w:rsidRPr="00950166" w:rsidRDefault="006A79E6" w:rsidP="007632CE">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7 889 tūkst.latu</w:t>
            </w:r>
            <w:r w:rsidRPr="00950166">
              <w:rPr>
                <w:rFonts w:ascii="Times New Roman" w:hAnsi="Times New Roman"/>
                <w:sz w:val="24"/>
                <w:szCs w:val="24"/>
                <w:lang w:val="lv-LV"/>
              </w:rPr>
              <w:t xml:space="preserve"> – Ambulatoro veselības aprūpes pakalpojumu gaidīšanas rindu samazināšana izmeklējumiem un terapijai, nodrošinot 638 815 izmeklējumus un terapijas;</w:t>
            </w:r>
          </w:p>
          <w:p w:rsidR="006A79E6" w:rsidRPr="00950166" w:rsidRDefault="006A79E6" w:rsidP="007632CE">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1 160 tūkst.latu</w:t>
            </w:r>
            <w:r w:rsidRPr="00950166">
              <w:rPr>
                <w:rFonts w:ascii="Times New Roman" w:hAnsi="Times New Roman"/>
                <w:sz w:val="24"/>
                <w:szCs w:val="24"/>
                <w:lang w:val="lv-LV"/>
              </w:rPr>
              <w:t xml:space="preserve"> – Rindu samazināšana endoprotezēšanas pakalpojumiem, nodrošinot 800 pakalpojumus;</w:t>
            </w:r>
          </w:p>
          <w:p w:rsidR="006A79E6" w:rsidRPr="00950166" w:rsidRDefault="006A79E6" w:rsidP="007632CE">
            <w:pPr>
              <w:spacing w:after="0" w:line="60" w:lineRule="atLeast"/>
              <w:jc w:val="both"/>
              <w:rPr>
                <w:rFonts w:ascii="Times New Roman" w:hAnsi="Times New Roman"/>
                <w:sz w:val="24"/>
                <w:szCs w:val="24"/>
                <w:u w:val="single"/>
                <w:lang w:val="lv-LV"/>
              </w:rPr>
            </w:pPr>
            <w:r w:rsidRPr="00950166">
              <w:rPr>
                <w:rFonts w:ascii="Times New Roman" w:hAnsi="Times New Roman"/>
                <w:b/>
                <w:sz w:val="24"/>
                <w:szCs w:val="24"/>
                <w:lang w:val="lv-LV"/>
              </w:rPr>
              <w:t>1 212 tūkst.latu</w:t>
            </w:r>
            <w:r w:rsidRPr="00950166">
              <w:rPr>
                <w:rFonts w:ascii="Times New Roman" w:hAnsi="Times New Roman"/>
                <w:sz w:val="24"/>
                <w:szCs w:val="24"/>
                <w:lang w:val="lv-LV"/>
              </w:rPr>
              <w:t xml:space="preserve"> – Rehabilitācijas pakalpojumu apjoma palielināšana bērniem, nodrošinot 2 514 pakalpojumus;</w:t>
            </w:r>
          </w:p>
          <w:p w:rsidR="006A79E6" w:rsidRPr="00950166" w:rsidRDefault="006A79E6" w:rsidP="007632CE">
            <w:pPr>
              <w:spacing w:after="0" w:line="60" w:lineRule="atLeast"/>
              <w:jc w:val="both"/>
              <w:rPr>
                <w:rFonts w:ascii="Times New Roman" w:hAnsi="Times New Roman"/>
                <w:sz w:val="24"/>
                <w:szCs w:val="24"/>
                <w:u w:val="single"/>
                <w:lang w:val="lv-LV"/>
              </w:rPr>
            </w:pPr>
            <w:r w:rsidRPr="00950166">
              <w:rPr>
                <w:rFonts w:ascii="Times New Roman" w:hAnsi="Times New Roman"/>
                <w:b/>
                <w:sz w:val="24"/>
                <w:szCs w:val="24"/>
                <w:lang w:val="lv-LV"/>
              </w:rPr>
              <w:t>4 847 tūkst.latu</w:t>
            </w:r>
            <w:r w:rsidRPr="00950166">
              <w:rPr>
                <w:rFonts w:ascii="Times New Roman" w:hAnsi="Times New Roman"/>
                <w:sz w:val="24"/>
                <w:szCs w:val="24"/>
                <w:lang w:val="lv-LV"/>
              </w:rPr>
              <w:t xml:space="preserve"> – Rehabilitācijas pakalpojumu apjoma palielināšana pieaugušajiem, nodrošinot 10 620 pakalpojumus;</w:t>
            </w:r>
          </w:p>
          <w:p w:rsidR="006A79E6" w:rsidRPr="00950166" w:rsidRDefault="006A79E6" w:rsidP="007632CE">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460 tūkst.latu</w:t>
            </w:r>
            <w:r w:rsidRPr="00950166">
              <w:rPr>
                <w:rFonts w:ascii="Times New Roman" w:hAnsi="Times New Roman"/>
                <w:sz w:val="24"/>
                <w:szCs w:val="24"/>
                <w:lang w:val="lv-LV"/>
              </w:rPr>
              <w:t xml:space="preserve"> – Zobārstniecības pakalpojumu apjoma palielināšana (iekļaujot jaunus pakalpojumu veidus, nodrošinot 49 045 manipulācijas;</w:t>
            </w:r>
          </w:p>
          <w:p w:rsidR="006A79E6" w:rsidRPr="00950166" w:rsidRDefault="006A79E6" w:rsidP="007632CE">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574 tūkst.latu</w:t>
            </w:r>
            <w:r w:rsidRPr="00950166">
              <w:rPr>
                <w:rFonts w:ascii="Times New Roman" w:hAnsi="Times New Roman"/>
                <w:sz w:val="24"/>
                <w:szCs w:val="24"/>
                <w:lang w:val="lv-LV"/>
              </w:rPr>
              <w:t xml:space="preserve"> – Jaunu modernu tehnoloģiju ieviešana</w:t>
            </w:r>
            <w:r w:rsidRPr="00950166">
              <w:rPr>
                <w:rFonts w:ascii="Times New Roman" w:hAnsi="Times New Roman"/>
                <w:sz w:val="24"/>
                <w:szCs w:val="24"/>
                <w:u w:val="single"/>
                <w:lang w:val="lv-LV"/>
              </w:rPr>
              <w:t xml:space="preserve"> </w:t>
            </w:r>
            <w:r w:rsidRPr="00950166">
              <w:rPr>
                <w:rFonts w:ascii="Times New Roman" w:hAnsi="Times New Roman"/>
                <w:sz w:val="24"/>
                <w:szCs w:val="24"/>
                <w:lang w:val="lv-LV"/>
              </w:rPr>
              <w:t>(ortotopiskā sirds transplantācija, vēdera aortas endoprotezēšana, krūšu aortas endoprotezēšana), nodrošinot 47 pakalpojumus;</w:t>
            </w:r>
          </w:p>
          <w:p w:rsidR="006A79E6" w:rsidRPr="00950166" w:rsidRDefault="006A79E6" w:rsidP="007632CE">
            <w:pPr>
              <w:spacing w:after="0" w:line="60" w:lineRule="atLeast"/>
              <w:jc w:val="both"/>
              <w:rPr>
                <w:rFonts w:ascii="Times New Roman" w:hAnsi="Times New Roman"/>
                <w:sz w:val="24"/>
                <w:szCs w:val="24"/>
                <w:u w:val="single"/>
                <w:lang w:val="lv-LV"/>
              </w:rPr>
            </w:pPr>
            <w:r w:rsidRPr="00950166">
              <w:rPr>
                <w:rFonts w:ascii="Times New Roman" w:hAnsi="Times New Roman"/>
                <w:b/>
                <w:sz w:val="24"/>
                <w:szCs w:val="24"/>
                <w:lang w:val="lv-LV"/>
              </w:rPr>
              <w:t>5 873 tūkst.latu</w:t>
            </w:r>
            <w:r w:rsidRPr="00950166">
              <w:rPr>
                <w:rFonts w:ascii="Times New Roman" w:hAnsi="Times New Roman"/>
                <w:sz w:val="24"/>
                <w:szCs w:val="24"/>
                <w:lang w:val="lv-LV"/>
              </w:rPr>
              <w:t xml:space="preserve"> – Stacionāro veselības aprūpes pakalpojumu tarifa elementu palielināšana, attīstības izdevumu palielināšanai, piemērojot tarifu 17.91 lats uz vienu hospitalizāciju;</w:t>
            </w:r>
          </w:p>
          <w:p w:rsidR="006A79E6" w:rsidRPr="00950166" w:rsidRDefault="006A79E6" w:rsidP="00A01D3A">
            <w:pPr>
              <w:spacing w:after="0" w:line="60" w:lineRule="atLeast"/>
              <w:jc w:val="both"/>
              <w:rPr>
                <w:rFonts w:ascii="Times New Roman" w:hAnsi="Times New Roman"/>
                <w:i/>
                <w:sz w:val="24"/>
                <w:szCs w:val="24"/>
                <w:lang w:val="lv-LV"/>
              </w:rPr>
            </w:pPr>
            <w:r w:rsidRPr="00950166">
              <w:rPr>
                <w:rFonts w:ascii="Times New Roman" w:hAnsi="Times New Roman"/>
                <w:i/>
                <w:sz w:val="24"/>
                <w:szCs w:val="24"/>
                <w:lang w:val="lv-LV"/>
              </w:rPr>
              <w:t>un</w:t>
            </w:r>
          </w:p>
          <w:p w:rsidR="006A79E6" w:rsidRPr="00950166" w:rsidRDefault="006A79E6" w:rsidP="00A01D3A">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19 tūkst.latu</w:t>
            </w:r>
            <w:r w:rsidRPr="00950166">
              <w:rPr>
                <w:rFonts w:ascii="Times New Roman" w:hAnsi="Times New Roman"/>
                <w:sz w:val="24"/>
                <w:szCs w:val="24"/>
                <w:lang w:val="lv-LV"/>
              </w:rPr>
              <w:t xml:space="preserve"> izveidoto IT sistēmu uzturēšanai NVD un VSIA „Paula Stradiņa klīniskā universitātes slimnīca” (15% apmērā no sistēmas izveides izmaksām);</w:t>
            </w:r>
          </w:p>
          <w:p w:rsidR="006A79E6" w:rsidRPr="00950166" w:rsidRDefault="006A79E6" w:rsidP="00A2465F">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-124 tūkst.latu</w:t>
            </w:r>
            <w:r w:rsidRPr="00950166">
              <w:rPr>
                <w:rFonts w:ascii="Times New Roman" w:hAnsi="Times New Roman"/>
                <w:sz w:val="24"/>
                <w:szCs w:val="24"/>
                <w:lang w:val="lv-LV"/>
              </w:rPr>
              <w:t>, kas 2013.gadā paredzēti vienreizējo pasākumu – eiro ieviešana un ES prezidentūras sagatavošanai – nodrošināšanai, bet no 2014.gada tiks novirzīti veselības aprūpes pakalpojumu nodrošināšanai;</w:t>
            </w:r>
          </w:p>
          <w:p w:rsidR="006A79E6" w:rsidRPr="00950166" w:rsidRDefault="006A79E6" w:rsidP="00A01D3A">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2 061 tūkst.latu</w:t>
            </w:r>
            <w:r w:rsidRPr="00950166">
              <w:rPr>
                <w:rFonts w:ascii="Times New Roman" w:hAnsi="Times New Roman"/>
                <w:sz w:val="24"/>
                <w:szCs w:val="24"/>
                <w:lang w:val="lv-LV"/>
              </w:rPr>
              <w:t>, lai nodrošinātu ES fondu un citu ārvalstu finanšu instrumentu finasējumu 38 milj.latu apmērā, kas ir indiaktīvs apjoms, kas noteikts pamatojoties uz 2011., 2012. un 2013.gada vidējo finansējumu ES fondiem un citiem ārvalstu finanšu instrumentiem;</w:t>
            </w:r>
          </w:p>
          <w:p w:rsidR="006A79E6" w:rsidRPr="00950166" w:rsidRDefault="006A79E6" w:rsidP="008868DD">
            <w:pPr>
              <w:spacing w:after="0" w:line="60" w:lineRule="atLeast"/>
              <w:jc w:val="both"/>
              <w:rPr>
                <w:rFonts w:ascii="Times New Roman" w:hAnsi="Times New Roman"/>
                <w:sz w:val="24"/>
                <w:szCs w:val="24"/>
                <w:lang w:val="lv-LV"/>
              </w:rPr>
            </w:pPr>
            <w:r w:rsidRPr="00950166">
              <w:rPr>
                <w:rFonts w:ascii="Times New Roman" w:hAnsi="Times New Roman"/>
                <w:b/>
                <w:sz w:val="24"/>
                <w:szCs w:val="24"/>
                <w:u w:val="single"/>
                <w:lang w:val="lv-LV"/>
              </w:rPr>
              <w:t>Finanšu ministrijai 15 tūkst.latu</w:t>
            </w:r>
            <w:r w:rsidRPr="00950166">
              <w:rPr>
                <w:rFonts w:ascii="Times New Roman" w:hAnsi="Times New Roman"/>
                <w:sz w:val="24"/>
                <w:szCs w:val="24"/>
                <w:lang w:val="lv-LV"/>
              </w:rPr>
              <w:t xml:space="preserve"> IT sistēmu uzturēšanai VID (15% apmērā no sistēmas izveides izmaksām);</w:t>
            </w:r>
          </w:p>
          <w:p w:rsidR="006A79E6" w:rsidRPr="00950166" w:rsidRDefault="006A79E6" w:rsidP="008868DD">
            <w:pPr>
              <w:spacing w:after="0" w:line="60" w:lineRule="atLeast"/>
              <w:jc w:val="both"/>
              <w:rPr>
                <w:rFonts w:ascii="Times New Roman" w:hAnsi="Times New Roman"/>
                <w:sz w:val="24"/>
                <w:szCs w:val="24"/>
                <w:lang w:val="lv-LV"/>
              </w:rPr>
            </w:pPr>
            <w:r w:rsidRPr="00950166">
              <w:rPr>
                <w:rFonts w:ascii="Times New Roman" w:hAnsi="Times New Roman"/>
                <w:b/>
                <w:sz w:val="24"/>
                <w:szCs w:val="24"/>
                <w:u w:val="single"/>
                <w:lang w:val="lv-LV"/>
              </w:rPr>
              <w:t>Labklājības ministrijai 12 tūkst.latu</w:t>
            </w:r>
            <w:r w:rsidRPr="00950166">
              <w:rPr>
                <w:rFonts w:ascii="Times New Roman" w:hAnsi="Times New Roman"/>
                <w:sz w:val="24"/>
                <w:szCs w:val="24"/>
                <w:lang w:val="lv-LV"/>
              </w:rPr>
              <w:t xml:space="preserve"> IT sistēmu uzturēšanai VSAA, Veselības un darbspēju ekspertīzes ārstu valsts komisijai un Nodarbinātības </w:t>
            </w:r>
            <w:r w:rsidRPr="00950166">
              <w:rPr>
                <w:rFonts w:ascii="Times New Roman" w:hAnsi="Times New Roman"/>
                <w:sz w:val="24"/>
                <w:szCs w:val="24"/>
                <w:lang w:val="lv-LV"/>
              </w:rPr>
              <w:lastRenderedPageBreak/>
              <w:t>valsts aģentūrai (15% apmērā no sistēmas izveides izmaksām);</w:t>
            </w:r>
          </w:p>
          <w:p w:rsidR="006A79E6" w:rsidRPr="00950166" w:rsidRDefault="006A79E6" w:rsidP="008868DD">
            <w:pPr>
              <w:spacing w:after="0" w:line="60" w:lineRule="atLeast"/>
              <w:jc w:val="both"/>
              <w:rPr>
                <w:rFonts w:ascii="Times New Roman" w:hAnsi="Times New Roman"/>
                <w:sz w:val="24"/>
                <w:szCs w:val="24"/>
                <w:lang w:val="lv-LV"/>
              </w:rPr>
            </w:pPr>
            <w:r w:rsidRPr="00950166">
              <w:rPr>
                <w:rFonts w:ascii="Times New Roman" w:hAnsi="Times New Roman"/>
                <w:b/>
                <w:sz w:val="24"/>
                <w:szCs w:val="24"/>
                <w:u w:val="single"/>
                <w:lang w:val="lv-LV"/>
              </w:rPr>
              <w:t>Izglītības un zinātnes ministrijai 5 tūkst.latu</w:t>
            </w:r>
            <w:r w:rsidRPr="00950166">
              <w:rPr>
                <w:rFonts w:ascii="Times New Roman" w:hAnsi="Times New Roman"/>
                <w:sz w:val="24"/>
                <w:szCs w:val="24"/>
                <w:lang w:val="lv-LV"/>
              </w:rPr>
              <w:t xml:space="preserve"> IT sistēmu uzturēšanai (15% apmērā no sistēmas izveides izmaksām);</w:t>
            </w:r>
          </w:p>
          <w:p w:rsidR="006A79E6" w:rsidRPr="00950166" w:rsidRDefault="006A79E6" w:rsidP="008868DD">
            <w:pPr>
              <w:spacing w:after="0" w:line="60" w:lineRule="atLeast"/>
              <w:jc w:val="both"/>
              <w:rPr>
                <w:rFonts w:ascii="Times New Roman" w:hAnsi="Times New Roman"/>
                <w:sz w:val="24"/>
                <w:szCs w:val="24"/>
                <w:lang w:val="lv-LV"/>
              </w:rPr>
            </w:pPr>
            <w:r w:rsidRPr="00950166">
              <w:rPr>
                <w:rFonts w:ascii="Times New Roman" w:hAnsi="Times New Roman"/>
                <w:b/>
                <w:sz w:val="24"/>
                <w:szCs w:val="24"/>
                <w:u w:val="single"/>
                <w:lang w:val="lv-LV"/>
              </w:rPr>
              <w:t>Iekšlietu ministrijai 4 tūkst.latu</w:t>
            </w:r>
            <w:r w:rsidRPr="00950166">
              <w:rPr>
                <w:rFonts w:ascii="Times New Roman" w:hAnsi="Times New Roman"/>
                <w:sz w:val="24"/>
                <w:szCs w:val="24"/>
                <w:lang w:val="lv-LV"/>
              </w:rPr>
              <w:t xml:space="preserve"> IT sistēmu uzturēšanai Pilsonības un migrācijas lietu pārvaldei (15% apmērā no sistēmas izveides izmaksām);</w:t>
            </w:r>
          </w:p>
          <w:p w:rsidR="006A79E6" w:rsidRPr="00950166" w:rsidRDefault="006A79E6" w:rsidP="008868DD">
            <w:pPr>
              <w:spacing w:after="0" w:line="60" w:lineRule="atLeast"/>
              <w:jc w:val="both"/>
              <w:rPr>
                <w:rFonts w:ascii="Times New Roman" w:hAnsi="Times New Roman"/>
                <w:sz w:val="24"/>
                <w:szCs w:val="24"/>
                <w:lang w:val="lv-LV"/>
              </w:rPr>
            </w:pPr>
            <w:r w:rsidRPr="00950166">
              <w:rPr>
                <w:rFonts w:ascii="Times New Roman" w:hAnsi="Times New Roman"/>
                <w:b/>
                <w:sz w:val="24"/>
                <w:szCs w:val="24"/>
                <w:u w:val="single"/>
                <w:lang w:val="lv-LV"/>
              </w:rPr>
              <w:t>Tiesietu ministrijai 2 tūkst.latu</w:t>
            </w:r>
            <w:r w:rsidRPr="00950166">
              <w:rPr>
                <w:rFonts w:ascii="Times New Roman" w:hAnsi="Times New Roman"/>
                <w:sz w:val="24"/>
                <w:szCs w:val="24"/>
                <w:lang w:val="lv-LV"/>
              </w:rPr>
              <w:t xml:space="preserve"> IT sistēmu uzturēšanai Ieslodzījumu vietu pārvaldei (15% apmērā no sistēmas izveides izmaksām).</w:t>
            </w:r>
          </w:p>
          <w:p w:rsidR="006A79E6" w:rsidRPr="00950166" w:rsidRDefault="006A79E6" w:rsidP="008868DD">
            <w:pPr>
              <w:spacing w:after="0" w:line="60" w:lineRule="atLeast"/>
              <w:jc w:val="both"/>
              <w:rPr>
                <w:rFonts w:ascii="Times New Roman" w:hAnsi="Times New Roman"/>
                <w:sz w:val="24"/>
                <w:szCs w:val="24"/>
                <w:lang w:val="lv-LV"/>
              </w:rPr>
            </w:pPr>
          </w:p>
          <w:p w:rsidR="006A79E6" w:rsidRPr="00950166" w:rsidRDefault="006A79E6" w:rsidP="002F69C4">
            <w:pPr>
              <w:spacing w:after="0" w:line="60" w:lineRule="atLeast"/>
              <w:rPr>
                <w:rFonts w:ascii="Times New Roman" w:hAnsi="Times New Roman"/>
                <w:b/>
                <w:sz w:val="24"/>
                <w:szCs w:val="24"/>
                <w:u w:val="single"/>
                <w:lang w:val="lv-LV"/>
              </w:rPr>
            </w:pPr>
            <w:r w:rsidRPr="00950166">
              <w:rPr>
                <w:rFonts w:ascii="Times New Roman" w:hAnsi="Times New Roman"/>
                <w:b/>
                <w:sz w:val="24"/>
                <w:szCs w:val="24"/>
                <w:u w:val="single"/>
                <w:lang w:val="lv-LV"/>
              </w:rPr>
              <w:t xml:space="preserve">2016.gadā – 205 237 tūkst.latu </w:t>
            </w:r>
          </w:p>
          <w:p w:rsidR="006A79E6" w:rsidRPr="00950166" w:rsidRDefault="006A79E6" w:rsidP="002F69C4">
            <w:pPr>
              <w:spacing w:after="0" w:line="240" w:lineRule="atLeast"/>
              <w:rPr>
                <w:rFonts w:ascii="Times New Roman" w:hAnsi="Times New Roman"/>
                <w:b/>
                <w:sz w:val="24"/>
                <w:szCs w:val="24"/>
                <w:lang w:val="lv-LV"/>
              </w:rPr>
            </w:pPr>
            <w:r w:rsidRPr="00950166">
              <w:rPr>
                <w:rFonts w:ascii="Times New Roman" w:hAnsi="Times New Roman"/>
                <w:b/>
                <w:sz w:val="24"/>
                <w:szCs w:val="24"/>
                <w:u w:val="single"/>
                <w:lang w:val="lv-LV"/>
              </w:rPr>
              <w:t>Veselības ministrijai 205 199 tūkst.latu</w:t>
            </w:r>
            <w:r w:rsidRPr="00950166">
              <w:rPr>
                <w:rFonts w:ascii="Times New Roman" w:hAnsi="Times New Roman"/>
                <w:b/>
                <w:sz w:val="24"/>
                <w:szCs w:val="24"/>
                <w:lang w:val="lv-LV"/>
              </w:rPr>
              <w:t>, t.sk.:</w:t>
            </w:r>
          </w:p>
          <w:p w:rsidR="006A79E6" w:rsidRPr="00950166" w:rsidRDefault="006A79E6" w:rsidP="002F69C4">
            <w:pPr>
              <w:spacing w:after="0" w:line="60" w:lineRule="atLeast"/>
              <w:rPr>
                <w:rFonts w:ascii="Times New Roman" w:hAnsi="Times New Roman"/>
                <w:i/>
                <w:sz w:val="24"/>
                <w:szCs w:val="24"/>
                <w:lang w:val="lv-LV"/>
              </w:rPr>
            </w:pPr>
            <w:r w:rsidRPr="00950166">
              <w:rPr>
                <w:rFonts w:ascii="Times New Roman" w:hAnsi="Times New Roman"/>
                <w:i/>
                <w:sz w:val="24"/>
                <w:szCs w:val="24"/>
                <w:lang w:val="lv-LV"/>
              </w:rPr>
              <w:t>(203 243 tūkst.latu 1.pielikumā minēto pasākumu realizācijai)</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86 151 tūkst.latu</w:t>
            </w:r>
            <w:r w:rsidRPr="00950166">
              <w:rPr>
                <w:rFonts w:ascii="Times New Roman" w:hAnsi="Times New Roman"/>
                <w:sz w:val="24"/>
                <w:szCs w:val="24"/>
                <w:lang w:val="lv-LV"/>
              </w:rPr>
              <w:t xml:space="preserve"> – Ārstniecības personu darba samaksas paaugstināšanai (veselības aprūpes pakalpojumu tarifos), nodrošinot darba samaksas pieaugumu ārstiem un funkcionālajiem speciālistiem par 342 latiem (no 524 latiem līdz 866 latiem), ārstniecības un pacientu aprūpes personas un funkcionālo speciālistu asistentiem par 207 latiem (no 314 latiem līdz 521 latiem), ārstniecības un pacientu aprūpes atbalsta personām par 135 latiem (no 210 latiem līdz 345 latiem);</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5 308 tūkst latu</w:t>
            </w:r>
            <w:r w:rsidRPr="00950166">
              <w:rPr>
                <w:rFonts w:ascii="Times New Roman" w:hAnsi="Times New Roman"/>
                <w:sz w:val="24"/>
                <w:szCs w:val="24"/>
                <w:lang w:val="lv-LV"/>
              </w:rPr>
              <w:t xml:space="preserve"> – Pacientu iemaksu un līdzmaksājumu stacionārā samazinājums par 50%, nodrošinot pacientu iemaksas par stacionārajiem veselības aprūpes pakalpojumiem samazinājumu psihiatriskajās un aprūpes ārstniecības iestādēs no 5,00 latiem līdz 2,00 latiem, bet pārējās ārstniecības iestādēs no 9,50 latiem līdz 4,50 latiem un līdzmaksājuma samazinājumu no 30 latiem līdz 15 latiem;</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2 000 tūkst.latu</w:t>
            </w:r>
            <w:r w:rsidRPr="00950166">
              <w:rPr>
                <w:rFonts w:ascii="Times New Roman" w:hAnsi="Times New Roman"/>
                <w:sz w:val="24"/>
                <w:szCs w:val="24"/>
                <w:lang w:val="lv-LV"/>
              </w:rPr>
              <w:t xml:space="preserve"> – Kompensējamo medikamentu un materiālu kompensācijas apmēra izmaiņas no 50% uz 75%:</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11 611 tūkst.latu</w:t>
            </w:r>
            <w:r w:rsidRPr="00950166">
              <w:rPr>
                <w:rFonts w:ascii="Times New Roman" w:hAnsi="Times New Roman"/>
                <w:sz w:val="24"/>
                <w:szCs w:val="24"/>
                <w:lang w:val="lv-LV"/>
              </w:rPr>
              <w:t xml:space="preserve"> – Kompensējamo medikamentu un materiālu sistēmas pacientu skaita pieaugums esošām diagnozēm (58 057 pacientiem);</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12 991 tūkst.latu</w:t>
            </w:r>
            <w:r w:rsidRPr="00950166">
              <w:rPr>
                <w:rFonts w:ascii="Times New Roman" w:hAnsi="Times New Roman"/>
                <w:sz w:val="24"/>
                <w:szCs w:val="24"/>
                <w:lang w:val="lv-LV"/>
              </w:rPr>
              <w:t xml:space="preserve"> – Pacientu skaita palielināšana un ierobežojumu atcelšana kompensējamo medikamentu un materiālu sistēmas C sarakstā esošajām zālēm (865 pacientiem);</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10 000 tūkst.latu</w:t>
            </w:r>
            <w:r w:rsidRPr="00950166">
              <w:rPr>
                <w:rFonts w:ascii="Times New Roman" w:hAnsi="Times New Roman"/>
                <w:sz w:val="24"/>
                <w:szCs w:val="24"/>
                <w:lang w:val="lv-LV"/>
              </w:rPr>
              <w:t xml:space="preserve"> – Kompensācijas paplašināšana jau esošajām diagnozēm ar esošiem un jauniem medikamentiem un materiāliem (42 831 pacientam);</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11 500 tūkst.latu</w:t>
            </w:r>
            <w:r w:rsidRPr="00950166">
              <w:rPr>
                <w:rFonts w:ascii="Times New Roman" w:hAnsi="Times New Roman"/>
                <w:sz w:val="24"/>
                <w:szCs w:val="24"/>
                <w:lang w:val="lv-LV"/>
              </w:rPr>
              <w:t xml:space="preserve"> – Jaunu diagnožu iekļaušana kompensējamo medikamentu un materiālu kompensācijas sistēmas (18 300 pacientiem);</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lastRenderedPageBreak/>
              <w:t>13 544 tūkst.latu</w:t>
            </w:r>
            <w:r w:rsidRPr="00950166">
              <w:rPr>
                <w:rFonts w:ascii="Times New Roman" w:hAnsi="Times New Roman"/>
                <w:sz w:val="24"/>
                <w:szCs w:val="24"/>
                <w:lang w:val="lv-LV"/>
              </w:rPr>
              <w:t xml:space="preserve"> – Ambulatoro veselības aprūpes pakalpojumu gaidīšanas rindu samazināšana dienas stacionārā sniegtajiem pakalpojumiem, nodrošinot 212 844 pakalpojumus;</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12 022 tūkst.latu</w:t>
            </w:r>
            <w:r w:rsidRPr="00950166">
              <w:rPr>
                <w:rFonts w:ascii="Times New Roman" w:hAnsi="Times New Roman"/>
                <w:sz w:val="24"/>
                <w:szCs w:val="24"/>
                <w:lang w:val="lv-LV"/>
              </w:rPr>
              <w:t xml:space="preserve"> – Ambulatoro veselības aprūpes pakalpojumu gaidīšanas rindu samazināšana speciālistu pakalpojumiem, nodrošinot (792 471) pakalpojumus;</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13 309 tūkst.latu</w:t>
            </w:r>
            <w:r w:rsidRPr="00950166">
              <w:rPr>
                <w:rFonts w:ascii="Times New Roman" w:hAnsi="Times New Roman"/>
                <w:sz w:val="24"/>
                <w:szCs w:val="24"/>
                <w:lang w:val="lv-LV"/>
              </w:rPr>
              <w:t xml:space="preserve"> – Ambulatoro veselības aprūpes pakalpojumu gaidīšanas rindu samazināšana izmeklējumiem un terapijai, nodrošinot 1 023 847 izmeklējumus un terapijas;</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1 634 tūkst.latu</w:t>
            </w:r>
            <w:r w:rsidRPr="00950166">
              <w:rPr>
                <w:rFonts w:ascii="Times New Roman" w:hAnsi="Times New Roman"/>
                <w:sz w:val="24"/>
                <w:szCs w:val="24"/>
                <w:lang w:val="lv-LV"/>
              </w:rPr>
              <w:t xml:space="preserve"> – Rindu samazināšana endoprotezēšanas pakalpojumiem, nodrošinot 1 100 pakalpojumus;</w:t>
            </w:r>
          </w:p>
          <w:p w:rsidR="006A79E6" w:rsidRPr="00950166" w:rsidRDefault="006A79E6" w:rsidP="002F69C4">
            <w:pPr>
              <w:spacing w:after="0" w:line="60" w:lineRule="atLeast"/>
              <w:jc w:val="both"/>
              <w:rPr>
                <w:rFonts w:ascii="Times New Roman" w:hAnsi="Times New Roman"/>
                <w:sz w:val="24"/>
                <w:szCs w:val="24"/>
                <w:u w:val="single"/>
                <w:lang w:val="lv-LV"/>
              </w:rPr>
            </w:pPr>
            <w:r w:rsidRPr="00950166">
              <w:rPr>
                <w:rFonts w:ascii="Times New Roman" w:hAnsi="Times New Roman"/>
                <w:b/>
                <w:sz w:val="24"/>
                <w:szCs w:val="24"/>
                <w:lang w:val="lv-LV"/>
              </w:rPr>
              <w:t>3 798 tūkst.latu</w:t>
            </w:r>
            <w:r w:rsidRPr="00950166">
              <w:rPr>
                <w:rFonts w:ascii="Times New Roman" w:hAnsi="Times New Roman"/>
                <w:sz w:val="24"/>
                <w:szCs w:val="24"/>
                <w:lang w:val="lv-LV"/>
              </w:rPr>
              <w:t xml:space="preserve"> – Rehabilitācijas pakalpojumu apjoma palielināšana bērniem, nodrošinot 7 514 pakalpojumus;</w:t>
            </w:r>
          </w:p>
          <w:p w:rsidR="006A79E6" w:rsidRPr="00950166" w:rsidRDefault="006A79E6" w:rsidP="002F69C4">
            <w:pPr>
              <w:spacing w:after="0" w:line="60" w:lineRule="atLeast"/>
              <w:jc w:val="both"/>
              <w:rPr>
                <w:rFonts w:ascii="Times New Roman" w:hAnsi="Times New Roman"/>
                <w:sz w:val="24"/>
                <w:szCs w:val="24"/>
                <w:u w:val="single"/>
                <w:lang w:val="lv-LV"/>
              </w:rPr>
            </w:pPr>
            <w:r w:rsidRPr="00950166">
              <w:rPr>
                <w:rFonts w:ascii="Times New Roman" w:hAnsi="Times New Roman"/>
                <w:b/>
                <w:sz w:val="24"/>
                <w:szCs w:val="24"/>
                <w:lang w:val="lv-LV"/>
              </w:rPr>
              <w:t>9 710 tūkst.latu</w:t>
            </w:r>
            <w:r w:rsidRPr="00950166">
              <w:rPr>
                <w:rFonts w:ascii="Times New Roman" w:hAnsi="Times New Roman"/>
                <w:sz w:val="24"/>
                <w:szCs w:val="24"/>
                <w:lang w:val="lv-LV"/>
              </w:rPr>
              <w:t xml:space="preserve"> – Rehabilitācijas pakalpojumu apjoma palielināšana pieaugušajiem, nodrošinot 20 620 pakalpojumus;</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562 tūkst.latu</w:t>
            </w:r>
            <w:r w:rsidRPr="00950166">
              <w:rPr>
                <w:rFonts w:ascii="Times New Roman" w:hAnsi="Times New Roman"/>
                <w:sz w:val="24"/>
                <w:szCs w:val="24"/>
                <w:lang w:val="lv-LV"/>
              </w:rPr>
              <w:t xml:space="preserve"> – Zobārstniecības pakalpojumu apjoma palielināšana (iekļaujot jaunus pakalpojumu veidus, nodrošinot 53 950 manipulācijas;</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574 tūkst.latu</w:t>
            </w:r>
            <w:r w:rsidRPr="00950166">
              <w:rPr>
                <w:rFonts w:ascii="Times New Roman" w:hAnsi="Times New Roman"/>
                <w:sz w:val="24"/>
                <w:szCs w:val="24"/>
                <w:lang w:val="lv-LV"/>
              </w:rPr>
              <w:t xml:space="preserve"> – Jaunu modernu tehnoloģiju ieviešana</w:t>
            </w:r>
            <w:r w:rsidRPr="00950166">
              <w:rPr>
                <w:rFonts w:ascii="Times New Roman" w:hAnsi="Times New Roman"/>
                <w:sz w:val="24"/>
                <w:szCs w:val="24"/>
                <w:u w:val="single"/>
                <w:lang w:val="lv-LV"/>
              </w:rPr>
              <w:t xml:space="preserve"> </w:t>
            </w:r>
            <w:r w:rsidRPr="00950166">
              <w:rPr>
                <w:rFonts w:ascii="Times New Roman" w:hAnsi="Times New Roman"/>
                <w:sz w:val="24"/>
                <w:szCs w:val="24"/>
                <w:lang w:val="lv-LV"/>
              </w:rPr>
              <w:t>(ortotopiskā sirds transplantācija, vēdera aortas endoprotezēšana, krūšu aortas endoprotezēšana), nodrošinot 47 pakalpojumus;</w:t>
            </w:r>
          </w:p>
          <w:p w:rsidR="006A79E6" w:rsidRPr="00950166" w:rsidRDefault="006A79E6" w:rsidP="002F69C4">
            <w:pPr>
              <w:spacing w:after="0" w:line="60" w:lineRule="atLeast"/>
              <w:jc w:val="both"/>
              <w:rPr>
                <w:rFonts w:ascii="Times New Roman" w:hAnsi="Times New Roman"/>
                <w:sz w:val="24"/>
                <w:szCs w:val="24"/>
                <w:u w:val="single"/>
                <w:lang w:val="lv-LV"/>
              </w:rPr>
            </w:pPr>
            <w:r w:rsidRPr="00950166">
              <w:rPr>
                <w:rFonts w:ascii="Times New Roman" w:hAnsi="Times New Roman"/>
                <w:b/>
                <w:sz w:val="24"/>
                <w:szCs w:val="24"/>
                <w:lang w:val="lv-LV"/>
              </w:rPr>
              <w:t>8 529 tūkst.latu</w:t>
            </w:r>
            <w:r w:rsidRPr="00950166">
              <w:rPr>
                <w:rFonts w:ascii="Times New Roman" w:hAnsi="Times New Roman"/>
                <w:sz w:val="24"/>
                <w:szCs w:val="24"/>
                <w:lang w:val="lv-LV"/>
              </w:rPr>
              <w:t xml:space="preserve"> – Stacionāro veselības aprūpes pakalpojumu tarifa elementu palielināšana, attīstības izdevumu palielināšanai, palielinot elementu par 20,19 latiem uz vienu hospitalizāciju (no 0,00 latiem līdz 20,19 latiem), un izdevumu medikamentiem (ārstniecības līdzekļiem) palielināšanai, palielinot elementu par 5,82 latiem uz vienu hospitalizāciju (no 161,92 latiem līdz 167,74 latiem);</w:t>
            </w:r>
          </w:p>
          <w:p w:rsidR="006A79E6" w:rsidRPr="00950166" w:rsidRDefault="006A79E6" w:rsidP="002F69C4">
            <w:pPr>
              <w:spacing w:after="0" w:line="60" w:lineRule="atLeast"/>
              <w:jc w:val="both"/>
              <w:rPr>
                <w:rFonts w:ascii="Times New Roman" w:hAnsi="Times New Roman"/>
                <w:i/>
                <w:sz w:val="24"/>
                <w:szCs w:val="24"/>
                <w:lang w:val="lv-LV"/>
              </w:rPr>
            </w:pPr>
            <w:r w:rsidRPr="00950166">
              <w:rPr>
                <w:rFonts w:ascii="Times New Roman" w:hAnsi="Times New Roman"/>
                <w:i/>
                <w:sz w:val="24"/>
                <w:szCs w:val="24"/>
                <w:lang w:val="lv-LV"/>
              </w:rPr>
              <w:t>un</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19 tūkst.latu</w:t>
            </w:r>
            <w:r w:rsidRPr="00950166">
              <w:rPr>
                <w:rFonts w:ascii="Times New Roman" w:hAnsi="Times New Roman"/>
                <w:sz w:val="24"/>
                <w:szCs w:val="24"/>
                <w:lang w:val="lv-LV"/>
              </w:rPr>
              <w:t xml:space="preserve"> izveidoto IT sistēmu uzturēšanai NVD un VSIA „Paula Stradiņa klīniskā universitātes slimnīca” (15% apmērā no sistēmas izveides izmaksām);</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-124 tūkst.latu</w:t>
            </w:r>
            <w:r w:rsidRPr="00950166">
              <w:rPr>
                <w:rFonts w:ascii="Times New Roman" w:hAnsi="Times New Roman"/>
                <w:sz w:val="24"/>
                <w:szCs w:val="24"/>
                <w:lang w:val="lv-LV"/>
              </w:rPr>
              <w:t>, kas 2013.gadā paredzēti vienreizējo pasākumu – eiro ieviešana un ES prezidentūras sagatavošanai – nodrošināšanai, bet no 2014.gada tiks novirzīti veselības aprūpes pakalpojumu nodrošināšanai;</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lang w:val="lv-LV"/>
              </w:rPr>
              <w:t>2 061 tūkst.latu</w:t>
            </w:r>
            <w:r w:rsidRPr="00950166">
              <w:rPr>
                <w:rFonts w:ascii="Times New Roman" w:hAnsi="Times New Roman"/>
                <w:sz w:val="24"/>
                <w:szCs w:val="24"/>
                <w:lang w:val="lv-LV"/>
              </w:rPr>
              <w:t xml:space="preserve">, lai nodrošinātu ES fondu un citu ārvalstu finanšu instrumentu finasējumu 38 milj.latu apmērā, kas ir indiaktīvs apjoms, kas </w:t>
            </w:r>
            <w:r w:rsidRPr="00950166">
              <w:rPr>
                <w:rFonts w:ascii="Times New Roman" w:hAnsi="Times New Roman"/>
                <w:sz w:val="24"/>
                <w:szCs w:val="24"/>
                <w:lang w:val="lv-LV"/>
              </w:rPr>
              <w:lastRenderedPageBreak/>
              <w:t>noteikts pamatojoties uz 2011., 2012. un 2013.gada vidējo finansējumu ES fondiem un citiem ārvalstu finanšu instrumentiem;</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u w:val="single"/>
                <w:lang w:val="lv-LV"/>
              </w:rPr>
              <w:t>Finanšu ministrijai 15 tūkst.latu</w:t>
            </w:r>
            <w:r w:rsidRPr="00950166">
              <w:rPr>
                <w:rFonts w:ascii="Times New Roman" w:hAnsi="Times New Roman"/>
                <w:sz w:val="24"/>
                <w:szCs w:val="24"/>
                <w:lang w:val="lv-LV"/>
              </w:rPr>
              <w:t xml:space="preserve"> IT sistēmu uzturēšanai VID (15% apmērā no sistēmas izveides izmaksām);</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u w:val="single"/>
                <w:lang w:val="lv-LV"/>
              </w:rPr>
              <w:t>Labklājības ministrijai 12 tūkst.latu</w:t>
            </w:r>
            <w:r w:rsidRPr="00950166">
              <w:rPr>
                <w:rFonts w:ascii="Times New Roman" w:hAnsi="Times New Roman"/>
                <w:sz w:val="24"/>
                <w:szCs w:val="24"/>
                <w:lang w:val="lv-LV"/>
              </w:rPr>
              <w:t xml:space="preserve"> IT sistēmu uzturēšanai VSAA, Veselības un darbspēju ekspertīzes ārstu valsts komisijai un Nodarbinātības valsts aģentūrai (15% apmērā no sistēmas izveides izmaksām);</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u w:val="single"/>
                <w:lang w:val="lv-LV"/>
              </w:rPr>
              <w:t>Izglītības un zinātnes ministrijai 5 tūkst.latu</w:t>
            </w:r>
            <w:r w:rsidRPr="00950166">
              <w:rPr>
                <w:rFonts w:ascii="Times New Roman" w:hAnsi="Times New Roman"/>
                <w:sz w:val="24"/>
                <w:szCs w:val="24"/>
                <w:lang w:val="lv-LV"/>
              </w:rPr>
              <w:t xml:space="preserve"> IT sistēmu uzturēšanai (15% apmērā no sistēmas izveides izmaksām);</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u w:val="single"/>
                <w:lang w:val="lv-LV"/>
              </w:rPr>
              <w:t>Iekšlietu ministrijai 4 tūkst.latu</w:t>
            </w:r>
            <w:r w:rsidRPr="00950166">
              <w:rPr>
                <w:rFonts w:ascii="Times New Roman" w:hAnsi="Times New Roman"/>
                <w:sz w:val="24"/>
                <w:szCs w:val="24"/>
                <w:lang w:val="lv-LV"/>
              </w:rPr>
              <w:t xml:space="preserve"> IT sistēmu uzturēšanai Pilsonības un migrācijas lietu pārvaldei (15% apmērā no sistēmas izveides izmaksām);</w:t>
            </w:r>
          </w:p>
          <w:p w:rsidR="006A79E6" w:rsidRPr="00950166" w:rsidRDefault="006A79E6" w:rsidP="002F69C4">
            <w:pPr>
              <w:spacing w:after="0" w:line="60" w:lineRule="atLeast"/>
              <w:jc w:val="both"/>
              <w:rPr>
                <w:rFonts w:ascii="Times New Roman" w:hAnsi="Times New Roman"/>
                <w:sz w:val="24"/>
                <w:szCs w:val="24"/>
                <w:lang w:val="lv-LV"/>
              </w:rPr>
            </w:pPr>
            <w:r w:rsidRPr="00950166">
              <w:rPr>
                <w:rFonts w:ascii="Times New Roman" w:hAnsi="Times New Roman"/>
                <w:b/>
                <w:sz w:val="24"/>
                <w:szCs w:val="24"/>
                <w:u w:val="single"/>
                <w:lang w:val="lv-LV"/>
              </w:rPr>
              <w:t>Tiesietu ministrijai 2 tūkst.latu</w:t>
            </w:r>
            <w:r w:rsidRPr="00950166">
              <w:rPr>
                <w:rFonts w:ascii="Times New Roman" w:hAnsi="Times New Roman"/>
                <w:sz w:val="24"/>
                <w:szCs w:val="24"/>
                <w:lang w:val="lv-LV"/>
              </w:rPr>
              <w:t xml:space="preserve"> IT sistēmu uzturēšanai Ieslodzījumu vietu pārvaldei (15% apmērā no sistēmas izveides izmaksām).</w:t>
            </w:r>
          </w:p>
        </w:tc>
      </w:tr>
      <w:tr w:rsidR="006A79E6" w:rsidRPr="00950166" w:rsidTr="00D01996">
        <w:trPr>
          <w:trHeight w:val="60"/>
        </w:trPr>
        <w:tc>
          <w:tcPr>
            <w:tcW w:w="2137" w:type="pct"/>
            <w:tcBorders>
              <w:top w:val="single" w:sz="6" w:space="0" w:color="auto"/>
              <w:bottom w:val="single" w:sz="6" w:space="0" w:color="auto"/>
              <w:right w:val="single" w:sz="6" w:space="0" w:color="auto"/>
            </w:tcBorders>
          </w:tcPr>
          <w:p w:rsidR="006A79E6" w:rsidRPr="00950166" w:rsidRDefault="006A79E6" w:rsidP="00D47524">
            <w:pPr>
              <w:spacing w:before="100" w:beforeAutospacing="1" w:after="0" w:line="60" w:lineRule="atLeast"/>
              <w:rPr>
                <w:rFonts w:ascii="Times New Roman" w:hAnsi="Times New Roman"/>
                <w:sz w:val="24"/>
                <w:szCs w:val="24"/>
                <w:lang w:val="lv-LV"/>
              </w:rPr>
            </w:pPr>
            <w:r w:rsidRPr="00950166">
              <w:rPr>
                <w:rFonts w:ascii="Times New Roman" w:hAnsi="Times New Roman"/>
                <w:sz w:val="24"/>
                <w:szCs w:val="24"/>
                <w:lang w:val="lv-LV"/>
              </w:rPr>
              <w:lastRenderedPageBreak/>
              <w:t>Cita informācija</w:t>
            </w:r>
          </w:p>
        </w:tc>
        <w:tc>
          <w:tcPr>
            <w:tcW w:w="2863" w:type="pct"/>
            <w:gridSpan w:val="4"/>
            <w:tcBorders>
              <w:top w:val="single" w:sz="6" w:space="0" w:color="auto"/>
              <w:bottom w:val="single" w:sz="6" w:space="0" w:color="auto"/>
            </w:tcBorders>
          </w:tcPr>
          <w:p w:rsidR="006A79E6" w:rsidRPr="00950166" w:rsidRDefault="006A79E6" w:rsidP="00D47524">
            <w:pPr>
              <w:spacing w:before="100" w:beforeAutospacing="1" w:after="0" w:line="60" w:lineRule="atLeast"/>
              <w:rPr>
                <w:rFonts w:ascii="Times New Roman" w:hAnsi="Times New Roman"/>
                <w:sz w:val="24"/>
                <w:szCs w:val="24"/>
                <w:lang w:val="lv-LV"/>
              </w:rPr>
            </w:pPr>
          </w:p>
        </w:tc>
      </w:tr>
      <w:tr w:rsidR="006A79E6" w:rsidRPr="00950166" w:rsidTr="00564FB6">
        <w:trPr>
          <w:trHeight w:val="60"/>
        </w:trPr>
        <w:tc>
          <w:tcPr>
            <w:tcW w:w="2137" w:type="pct"/>
            <w:vMerge w:val="restart"/>
            <w:tcBorders>
              <w:top w:val="single" w:sz="6" w:space="0" w:color="auto"/>
              <w:right w:val="single" w:sz="6" w:space="0" w:color="auto"/>
            </w:tcBorders>
          </w:tcPr>
          <w:p w:rsidR="006A79E6" w:rsidRPr="00950166" w:rsidRDefault="006A79E6" w:rsidP="00D47524">
            <w:pPr>
              <w:spacing w:before="100" w:beforeAutospacing="1" w:after="0" w:line="60" w:lineRule="atLeast"/>
              <w:rPr>
                <w:rFonts w:ascii="Times New Roman" w:hAnsi="Times New Roman"/>
                <w:sz w:val="24"/>
                <w:szCs w:val="24"/>
                <w:lang w:val="lv-LV"/>
              </w:rPr>
            </w:pPr>
            <w:r w:rsidRPr="00950166">
              <w:rPr>
                <w:rFonts w:ascii="Times New Roman" w:hAnsi="Times New Roman"/>
                <w:sz w:val="24"/>
                <w:szCs w:val="24"/>
                <w:lang w:val="lv-LV"/>
              </w:rPr>
              <w:t>Izmaiņas budžeta izdevumos no 2016.gada līdz 2018.gadam*</w:t>
            </w:r>
          </w:p>
        </w:tc>
        <w:tc>
          <w:tcPr>
            <w:tcW w:w="808" w:type="pct"/>
            <w:tcBorders>
              <w:top w:val="single" w:sz="6" w:space="0" w:color="auto"/>
              <w:left w:val="single" w:sz="6" w:space="0" w:color="auto"/>
              <w:bottom w:val="single" w:sz="6" w:space="0" w:color="auto"/>
              <w:right w:val="single" w:sz="6" w:space="0" w:color="auto"/>
            </w:tcBorders>
            <w:vAlign w:val="bottom"/>
          </w:tcPr>
          <w:p w:rsidR="006A79E6" w:rsidRPr="00950166" w:rsidRDefault="006A79E6" w:rsidP="00766BAF">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2017.gads</w:t>
            </w:r>
          </w:p>
        </w:tc>
        <w:tc>
          <w:tcPr>
            <w:tcW w:w="661" w:type="pct"/>
            <w:tcBorders>
              <w:top w:val="single" w:sz="6" w:space="0" w:color="auto"/>
              <w:left w:val="single" w:sz="6" w:space="0" w:color="auto"/>
              <w:bottom w:val="single" w:sz="6" w:space="0" w:color="auto"/>
              <w:right w:val="single" w:sz="6" w:space="0" w:color="auto"/>
            </w:tcBorders>
            <w:vAlign w:val="bottom"/>
          </w:tcPr>
          <w:p w:rsidR="006A79E6" w:rsidRPr="00950166" w:rsidRDefault="006A79E6" w:rsidP="00766BAF">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2018.gads</w:t>
            </w:r>
          </w:p>
        </w:tc>
        <w:tc>
          <w:tcPr>
            <w:tcW w:w="661" w:type="pct"/>
            <w:tcBorders>
              <w:top w:val="single" w:sz="6" w:space="0" w:color="auto"/>
              <w:left w:val="single" w:sz="6" w:space="0" w:color="auto"/>
              <w:bottom w:val="single" w:sz="6" w:space="0" w:color="auto"/>
              <w:right w:val="single" w:sz="6" w:space="0" w:color="auto"/>
            </w:tcBorders>
            <w:vAlign w:val="bottom"/>
          </w:tcPr>
          <w:p w:rsidR="006A79E6" w:rsidRPr="00950166" w:rsidRDefault="006A79E6" w:rsidP="006C176A">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2019.gads</w:t>
            </w:r>
          </w:p>
        </w:tc>
        <w:tc>
          <w:tcPr>
            <w:tcW w:w="733" w:type="pct"/>
            <w:tcBorders>
              <w:top w:val="single" w:sz="6" w:space="0" w:color="auto"/>
              <w:left w:val="single" w:sz="6" w:space="0" w:color="auto"/>
              <w:bottom w:val="single" w:sz="6" w:space="0" w:color="auto"/>
            </w:tcBorders>
            <w:vAlign w:val="bottom"/>
          </w:tcPr>
          <w:p w:rsidR="006A79E6" w:rsidRPr="00950166" w:rsidRDefault="006A79E6" w:rsidP="006C176A">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2020.gads</w:t>
            </w:r>
          </w:p>
        </w:tc>
      </w:tr>
      <w:tr w:rsidR="006A79E6" w:rsidRPr="00950166" w:rsidTr="00564FB6">
        <w:trPr>
          <w:trHeight w:val="60"/>
        </w:trPr>
        <w:tc>
          <w:tcPr>
            <w:tcW w:w="2137" w:type="pct"/>
            <w:vMerge/>
            <w:tcBorders>
              <w:bottom w:val="single" w:sz="4" w:space="0" w:color="auto"/>
              <w:right w:val="single" w:sz="6" w:space="0" w:color="auto"/>
            </w:tcBorders>
          </w:tcPr>
          <w:p w:rsidR="006A79E6" w:rsidRPr="00950166" w:rsidRDefault="006A79E6" w:rsidP="00D47524">
            <w:pPr>
              <w:spacing w:before="100" w:beforeAutospacing="1" w:after="0" w:line="60" w:lineRule="atLeast"/>
              <w:rPr>
                <w:rFonts w:ascii="Times New Roman" w:hAnsi="Times New Roman"/>
                <w:sz w:val="24"/>
                <w:szCs w:val="24"/>
                <w:lang w:val="lv-LV"/>
              </w:rPr>
            </w:pPr>
          </w:p>
        </w:tc>
        <w:tc>
          <w:tcPr>
            <w:tcW w:w="808" w:type="pct"/>
            <w:tcBorders>
              <w:top w:val="single" w:sz="6" w:space="0" w:color="auto"/>
              <w:left w:val="single" w:sz="6" w:space="0" w:color="auto"/>
              <w:bottom w:val="single" w:sz="6" w:space="0" w:color="auto"/>
              <w:right w:val="single" w:sz="6" w:space="0" w:color="auto"/>
            </w:tcBorders>
            <w:vAlign w:val="bottom"/>
          </w:tcPr>
          <w:p w:rsidR="006A79E6" w:rsidRPr="00950166" w:rsidRDefault="006A79E6" w:rsidP="00766BAF">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287 989</w:t>
            </w:r>
          </w:p>
        </w:tc>
        <w:tc>
          <w:tcPr>
            <w:tcW w:w="661" w:type="pct"/>
            <w:tcBorders>
              <w:top w:val="single" w:sz="6" w:space="0" w:color="auto"/>
              <w:left w:val="single" w:sz="6" w:space="0" w:color="auto"/>
              <w:bottom w:val="single" w:sz="6" w:space="0" w:color="auto"/>
              <w:right w:val="single" w:sz="6" w:space="0" w:color="auto"/>
            </w:tcBorders>
            <w:vAlign w:val="bottom"/>
          </w:tcPr>
          <w:p w:rsidR="006A79E6" w:rsidRPr="00950166" w:rsidRDefault="006A79E6" w:rsidP="00766BAF">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378 146</w:t>
            </w:r>
          </w:p>
        </w:tc>
        <w:tc>
          <w:tcPr>
            <w:tcW w:w="661" w:type="pct"/>
            <w:tcBorders>
              <w:top w:val="single" w:sz="6" w:space="0" w:color="auto"/>
              <w:left w:val="single" w:sz="6" w:space="0" w:color="auto"/>
              <w:bottom w:val="single" w:sz="6" w:space="0" w:color="auto"/>
              <w:right w:val="single" w:sz="6" w:space="0" w:color="auto"/>
            </w:tcBorders>
            <w:vAlign w:val="bottom"/>
          </w:tcPr>
          <w:p w:rsidR="006A79E6" w:rsidRPr="00950166" w:rsidRDefault="006A79E6" w:rsidP="000E5997">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476 294</w:t>
            </w:r>
          </w:p>
        </w:tc>
        <w:tc>
          <w:tcPr>
            <w:tcW w:w="733" w:type="pct"/>
            <w:tcBorders>
              <w:top w:val="single" w:sz="6" w:space="0" w:color="auto"/>
              <w:left w:val="single" w:sz="6" w:space="0" w:color="auto"/>
              <w:bottom w:val="single" w:sz="6" w:space="0" w:color="auto"/>
            </w:tcBorders>
            <w:vAlign w:val="bottom"/>
          </w:tcPr>
          <w:p w:rsidR="006A79E6" w:rsidRPr="00950166" w:rsidRDefault="006A79E6" w:rsidP="000E5997">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583 051</w:t>
            </w:r>
          </w:p>
        </w:tc>
      </w:tr>
      <w:tr w:rsidR="006A79E6" w:rsidRPr="00950166" w:rsidTr="00564FB6">
        <w:trPr>
          <w:trHeight w:val="60"/>
        </w:trPr>
        <w:tc>
          <w:tcPr>
            <w:tcW w:w="2137" w:type="pct"/>
            <w:tcBorders>
              <w:top w:val="single" w:sz="4" w:space="0" w:color="auto"/>
              <w:left w:val="single" w:sz="4" w:space="0" w:color="auto"/>
              <w:bottom w:val="single" w:sz="4" w:space="0" w:color="auto"/>
              <w:right w:val="single" w:sz="4" w:space="0" w:color="auto"/>
            </w:tcBorders>
            <w:vAlign w:val="center"/>
          </w:tcPr>
          <w:p w:rsidR="006A79E6" w:rsidRPr="00950166" w:rsidRDefault="006A79E6" w:rsidP="0000350F">
            <w:pPr>
              <w:spacing w:before="100" w:beforeAutospacing="1" w:after="0" w:line="60" w:lineRule="atLeast"/>
              <w:rPr>
                <w:rFonts w:ascii="Times New Roman" w:hAnsi="Times New Roman"/>
                <w:sz w:val="24"/>
                <w:szCs w:val="24"/>
                <w:lang w:val="lv-LV"/>
              </w:rPr>
            </w:pPr>
            <w:r w:rsidRPr="00950166">
              <w:rPr>
                <w:rFonts w:ascii="Times New Roman" w:hAnsi="Times New Roman"/>
                <w:sz w:val="24"/>
                <w:szCs w:val="24"/>
                <w:lang w:val="lv-LV"/>
              </w:rPr>
              <w:t>Izmaiņas valsts budžeta izdevumos, t.sk.:</w:t>
            </w:r>
          </w:p>
        </w:tc>
        <w:tc>
          <w:tcPr>
            <w:tcW w:w="808" w:type="pct"/>
            <w:tcBorders>
              <w:top w:val="single" w:sz="6" w:space="0" w:color="auto"/>
              <w:left w:val="single" w:sz="4" w:space="0" w:color="auto"/>
              <w:bottom w:val="single" w:sz="6" w:space="0" w:color="auto"/>
              <w:right w:val="single" w:sz="6" w:space="0" w:color="auto"/>
            </w:tcBorders>
            <w:vAlign w:val="bottom"/>
          </w:tcPr>
          <w:p w:rsidR="006A79E6" w:rsidRPr="00950166" w:rsidRDefault="006A79E6" w:rsidP="00766BAF">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287 989</w:t>
            </w:r>
          </w:p>
        </w:tc>
        <w:tc>
          <w:tcPr>
            <w:tcW w:w="661" w:type="pct"/>
            <w:tcBorders>
              <w:top w:val="single" w:sz="6" w:space="0" w:color="auto"/>
              <w:left w:val="single" w:sz="6" w:space="0" w:color="auto"/>
              <w:bottom w:val="single" w:sz="6" w:space="0" w:color="auto"/>
              <w:right w:val="single" w:sz="6" w:space="0" w:color="auto"/>
            </w:tcBorders>
            <w:vAlign w:val="bottom"/>
          </w:tcPr>
          <w:p w:rsidR="006A79E6" w:rsidRPr="00950166" w:rsidRDefault="006A79E6" w:rsidP="00766BAF">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378 146</w:t>
            </w:r>
          </w:p>
        </w:tc>
        <w:tc>
          <w:tcPr>
            <w:tcW w:w="661" w:type="pct"/>
            <w:tcBorders>
              <w:top w:val="single" w:sz="6" w:space="0" w:color="auto"/>
              <w:left w:val="single" w:sz="6" w:space="0" w:color="auto"/>
              <w:bottom w:val="single" w:sz="6" w:space="0" w:color="auto"/>
              <w:right w:val="single" w:sz="6" w:space="0" w:color="auto"/>
            </w:tcBorders>
            <w:vAlign w:val="bottom"/>
          </w:tcPr>
          <w:p w:rsidR="006A79E6" w:rsidRPr="00950166" w:rsidRDefault="006A79E6" w:rsidP="000E5997">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476 294</w:t>
            </w:r>
          </w:p>
        </w:tc>
        <w:tc>
          <w:tcPr>
            <w:tcW w:w="733" w:type="pct"/>
            <w:tcBorders>
              <w:top w:val="single" w:sz="6" w:space="0" w:color="auto"/>
              <w:left w:val="single" w:sz="6" w:space="0" w:color="auto"/>
              <w:bottom w:val="single" w:sz="6" w:space="0" w:color="auto"/>
            </w:tcBorders>
            <w:vAlign w:val="bottom"/>
          </w:tcPr>
          <w:p w:rsidR="006A79E6" w:rsidRPr="00950166" w:rsidRDefault="006A79E6" w:rsidP="000E5997">
            <w:pPr>
              <w:spacing w:after="0" w:line="60" w:lineRule="atLeast"/>
              <w:jc w:val="center"/>
              <w:rPr>
                <w:rFonts w:ascii="Times New Roman" w:hAnsi="Times New Roman"/>
                <w:sz w:val="24"/>
                <w:szCs w:val="24"/>
                <w:lang w:val="lv-LV"/>
              </w:rPr>
            </w:pPr>
            <w:r w:rsidRPr="00950166">
              <w:rPr>
                <w:rFonts w:ascii="Times New Roman" w:hAnsi="Times New Roman"/>
                <w:sz w:val="24"/>
                <w:szCs w:val="24"/>
                <w:lang w:val="lv-LV"/>
              </w:rPr>
              <w:t>583 051</w:t>
            </w:r>
          </w:p>
        </w:tc>
      </w:tr>
      <w:tr w:rsidR="006A79E6" w:rsidRPr="00950166" w:rsidTr="00564FB6">
        <w:trPr>
          <w:trHeight w:val="60"/>
        </w:trPr>
        <w:tc>
          <w:tcPr>
            <w:tcW w:w="2137" w:type="pct"/>
            <w:tcBorders>
              <w:top w:val="single" w:sz="4" w:space="0" w:color="auto"/>
              <w:left w:val="single" w:sz="4" w:space="0" w:color="auto"/>
              <w:bottom w:val="single" w:sz="4" w:space="0" w:color="auto"/>
              <w:right w:val="single" w:sz="4" w:space="0" w:color="auto"/>
            </w:tcBorders>
          </w:tcPr>
          <w:p w:rsidR="006A79E6" w:rsidRPr="00950166" w:rsidRDefault="006A79E6" w:rsidP="0000350F">
            <w:pPr>
              <w:spacing w:before="100" w:beforeAutospacing="1" w:after="0" w:line="60" w:lineRule="atLeast"/>
              <w:rPr>
                <w:rFonts w:ascii="Times New Roman" w:hAnsi="Times New Roman"/>
                <w:i/>
                <w:sz w:val="24"/>
                <w:szCs w:val="24"/>
                <w:lang w:val="lv-LV"/>
              </w:rPr>
            </w:pPr>
            <w:r w:rsidRPr="00950166">
              <w:rPr>
                <w:rFonts w:ascii="Times New Roman" w:hAnsi="Times New Roman"/>
                <w:i/>
                <w:sz w:val="24"/>
                <w:szCs w:val="24"/>
                <w:lang w:val="lv-LV"/>
              </w:rPr>
              <w:t xml:space="preserve">     Veselības ministrija</w:t>
            </w:r>
          </w:p>
        </w:tc>
        <w:tc>
          <w:tcPr>
            <w:tcW w:w="808" w:type="pct"/>
            <w:tcBorders>
              <w:top w:val="single" w:sz="6" w:space="0" w:color="auto"/>
              <w:left w:val="single" w:sz="4" w:space="0" w:color="auto"/>
              <w:bottom w:val="single" w:sz="6" w:space="0" w:color="auto"/>
              <w:right w:val="single" w:sz="6" w:space="0" w:color="auto"/>
            </w:tcBorders>
            <w:vAlign w:val="bottom"/>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287 951</w:t>
            </w:r>
          </w:p>
        </w:tc>
        <w:tc>
          <w:tcPr>
            <w:tcW w:w="661" w:type="pct"/>
            <w:tcBorders>
              <w:top w:val="single" w:sz="6" w:space="0" w:color="auto"/>
              <w:left w:val="single" w:sz="6" w:space="0" w:color="auto"/>
              <w:bottom w:val="single" w:sz="6" w:space="0" w:color="auto"/>
              <w:right w:val="single" w:sz="6" w:space="0" w:color="auto"/>
            </w:tcBorders>
            <w:vAlign w:val="bottom"/>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378 108</w:t>
            </w:r>
          </w:p>
        </w:tc>
        <w:tc>
          <w:tcPr>
            <w:tcW w:w="661" w:type="pct"/>
            <w:tcBorders>
              <w:top w:val="single" w:sz="6" w:space="0" w:color="auto"/>
              <w:left w:val="single" w:sz="6" w:space="0" w:color="auto"/>
              <w:bottom w:val="single" w:sz="6" w:space="0" w:color="auto"/>
              <w:right w:val="single" w:sz="6" w:space="0" w:color="auto"/>
            </w:tcBorders>
            <w:vAlign w:val="bottom"/>
          </w:tcPr>
          <w:p w:rsidR="006A79E6" w:rsidRPr="00950166" w:rsidRDefault="006A79E6" w:rsidP="000E5997">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476 256</w:t>
            </w:r>
          </w:p>
        </w:tc>
        <w:tc>
          <w:tcPr>
            <w:tcW w:w="733" w:type="pct"/>
            <w:tcBorders>
              <w:top w:val="single" w:sz="6" w:space="0" w:color="auto"/>
              <w:left w:val="single" w:sz="6" w:space="0" w:color="auto"/>
              <w:bottom w:val="single" w:sz="6" w:space="0" w:color="auto"/>
            </w:tcBorders>
            <w:vAlign w:val="bottom"/>
          </w:tcPr>
          <w:p w:rsidR="006A79E6" w:rsidRPr="00950166" w:rsidRDefault="006A79E6" w:rsidP="000E5997">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583 013</w:t>
            </w:r>
          </w:p>
        </w:tc>
      </w:tr>
      <w:tr w:rsidR="006A79E6" w:rsidRPr="00950166" w:rsidTr="00D01996">
        <w:trPr>
          <w:trHeight w:val="60"/>
        </w:trPr>
        <w:tc>
          <w:tcPr>
            <w:tcW w:w="2137" w:type="pct"/>
            <w:tcBorders>
              <w:top w:val="single" w:sz="4" w:space="0" w:color="auto"/>
              <w:left w:val="single" w:sz="4" w:space="0" w:color="auto"/>
              <w:bottom w:val="single" w:sz="4" w:space="0" w:color="auto"/>
              <w:right w:val="single" w:sz="4" w:space="0" w:color="auto"/>
            </w:tcBorders>
          </w:tcPr>
          <w:p w:rsidR="006A79E6" w:rsidRPr="00950166" w:rsidRDefault="006A79E6" w:rsidP="0000350F">
            <w:pPr>
              <w:spacing w:before="100" w:beforeAutospacing="1" w:after="0" w:line="60" w:lineRule="atLeast"/>
              <w:rPr>
                <w:rFonts w:ascii="Times New Roman" w:hAnsi="Times New Roman"/>
                <w:i/>
                <w:sz w:val="24"/>
                <w:szCs w:val="24"/>
                <w:lang w:val="lv-LV"/>
              </w:rPr>
            </w:pPr>
            <w:r w:rsidRPr="00950166">
              <w:rPr>
                <w:rFonts w:ascii="Times New Roman" w:hAnsi="Times New Roman"/>
                <w:i/>
                <w:sz w:val="24"/>
                <w:szCs w:val="24"/>
                <w:lang w:val="lv-LV"/>
              </w:rPr>
              <w:t xml:space="preserve">     Finanšu ministrija</w:t>
            </w:r>
          </w:p>
        </w:tc>
        <w:tc>
          <w:tcPr>
            <w:tcW w:w="808" w:type="pct"/>
            <w:tcBorders>
              <w:top w:val="single" w:sz="6" w:space="0" w:color="auto"/>
              <w:left w:val="single" w:sz="4"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15</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15</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00350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15</w:t>
            </w:r>
          </w:p>
        </w:tc>
        <w:tc>
          <w:tcPr>
            <w:tcW w:w="733" w:type="pct"/>
            <w:tcBorders>
              <w:top w:val="single" w:sz="6" w:space="0" w:color="auto"/>
              <w:left w:val="single" w:sz="6" w:space="0" w:color="auto"/>
              <w:bottom w:val="single" w:sz="6" w:space="0" w:color="auto"/>
            </w:tcBorders>
          </w:tcPr>
          <w:p w:rsidR="006A79E6" w:rsidRPr="00950166" w:rsidRDefault="006A79E6" w:rsidP="0000350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15</w:t>
            </w:r>
          </w:p>
        </w:tc>
      </w:tr>
      <w:tr w:rsidR="006A79E6" w:rsidRPr="00950166" w:rsidTr="00D01996">
        <w:trPr>
          <w:trHeight w:val="60"/>
        </w:trPr>
        <w:tc>
          <w:tcPr>
            <w:tcW w:w="2137" w:type="pct"/>
            <w:tcBorders>
              <w:top w:val="single" w:sz="4" w:space="0" w:color="auto"/>
              <w:left w:val="single" w:sz="4" w:space="0" w:color="auto"/>
              <w:bottom w:val="single" w:sz="4" w:space="0" w:color="auto"/>
              <w:right w:val="single" w:sz="4" w:space="0" w:color="auto"/>
            </w:tcBorders>
          </w:tcPr>
          <w:p w:rsidR="006A79E6" w:rsidRPr="00950166" w:rsidRDefault="006A79E6" w:rsidP="0000350F">
            <w:pPr>
              <w:spacing w:before="100" w:beforeAutospacing="1" w:after="0" w:line="60" w:lineRule="atLeast"/>
              <w:rPr>
                <w:rFonts w:ascii="Times New Roman" w:hAnsi="Times New Roman"/>
                <w:i/>
                <w:sz w:val="24"/>
                <w:szCs w:val="24"/>
                <w:lang w:val="lv-LV"/>
              </w:rPr>
            </w:pPr>
            <w:r w:rsidRPr="00950166">
              <w:rPr>
                <w:rFonts w:ascii="Times New Roman" w:hAnsi="Times New Roman"/>
                <w:i/>
                <w:sz w:val="24"/>
                <w:szCs w:val="24"/>
                <w:lang w:val="lv-LV"/>
              </w:rPr>
              <w:t xml:space="preserve">     Labklājības ministrija</w:t>
            </w:r>
          </w:p>
        </w:tc>
        <w:tc>
          <w:tcPr>
            <w:tcW w:w="808" w:type="pct"/>
            <w:tcBorders>
              <w:top w:val="single" w:sz="6" w:space="0" w:color="auto"/>
              <w:left w:val="single" w:sz="4"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12</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12</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00350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12</w:t>
            </w:r>
          </w:p>
        </w:tc>
        <w:tc>
          <w:tcPr>
            <w:tcW w:w="733" w:type="pct"/>
            <w:tcBorders>
              <w:top w:val="single" w:sz="6" w:space="0" w:color="auto"/>
              <w:left w:val="single" w:sz="6" w:space="0" w:color="auto"/>
              <w:bottom w:val="single" w:sz="6" w:space="0" w:color="auto"/>
            </w:tcBorders>
          </w:tcPr>
          <w:p w:rsidR="006A79E6" w:rsidRPr="00950166" w:rsidRDefault="006A79E6" w:rsidP="0000350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12</w:t>
            </w:r>
          </w:p>
        </w:tc>
      </w:tr>
      <w:tr w:rsidR="006A79E6" w:rsidRPr="00950166" w:rsidTr="00D01996">
        <w:trPr>
          <w:trHeight w:val="60"/>
        </w:trPr>
        <w:tc>
          <w:tcPr>
            <w:tcW w:w="2137" w:type="pct"/>
            <w:tcBorders>
              <w:top w:val="single" w:sz="4" w:space="0" w:color="auto"/>
              <w:left w:val="single" w:sz="4" w:space="0" w:color="auto"/>
              <w:bottom w:val="single" w:sz="4" w:space="0" w:color="auto"/>
              <w:right w:val="single" w:sz="4" w:space="0" w:color="auto"/>
            </w:tcBorders>
          </w:tcPr>
          <w:p w:rsidR="006A79E6" w:rsidRPr="00950166" w:rsidRDefault="006A79E6" w:rsidP="0000350F">
            <w:pPr>
              <w:spacing w:before="100" w:beforeAutospacing="1" w:after="0" w:line="60" w:lineRule="atLeast"/>
              <w:rPr>
                <w:rFonts w:ascii="Times New Roman" w:hAnsi="Times New Roman"/>
                <w:i/>
                <w:sz w:val="24"/>
                <w:szCs w:val="24"/>
                <w:lang w:val="lv-LV"/>
              </w:rPr>
            </w:pPr>
            <w:r w:rsidRPr="00950166">
              <w:rPr>
                <w:rFonts w:ascii="Times New Roman" w:hAnsi="Times New Roman"/>
                <w:i/>
                <w:sz w:val="24"/>
                <w:szCs w:val="24"/>
                <w:lang w:val="lv-LV"/>
              </w:rPr>
              <w:t xml:space="preserve">     Izglītības un zinātnes ministrija</w:t>
            </w:r>
          </w:p>
        </w:tc>
        <w:tc>
          <w:tcPr>
            <w:tcW w:w="808" w:type="pct"/>
            <w:tcBorders>
              <w:top w:val="single" w:sz="6" w:space="0" w:color="auto"/>
              <w:left w:val="single" w:sz="4"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5</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5</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00350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5</w:t>
            </w:r>
          </w:p>
        </w:tc>
        <w:tc>
          <w:tcPr>
            <w:tcW w:w="733" w:type="pct"/>
            <w:tcBorders>
              <w:top w:val="single" w:sz="6" w:space="0" w:color="auto"/>
              <w:left w:val="single" w:sz="6" w:space="0" w:color="auto"/>
              <w:bottom w:val="single" w:sz="6" w:space="0" w:color="auto"/>
            </w:tcBorders>
          </w:tcPr>
          <w:p w:rsidR="006A79E6" w:rsidRPr="00950166" w:rsidRDefault="006A79E6" w:rsidP="0000350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5</w:t>
            </w:r>
          </w:p>
        </w:tc>
      </w:tr>
      <w:tr w:rsidR="006A79E6" w:rsidRPr="00950166" w:rsidTr="00D01996">
        <w:trPr>
          <w:trHeight w:val="60"/>
        </w:trPr>
        <w:tc>
          <w:tcPr>
            <w:tcW w:w="2137" w:type="pct"/>
            <w:tcBorders>
              <w:top w:val="single" w:sz="4" w:space="0" w:color="auto"/>
              <w:left w:val="single" w:sz="4" w:space="0" w:color="auto"/>
              <w:bottom w:val="single" w:sz="4" w:space="0" w:color="auto"/>
              <w:right w:val="single" w:sz="4" w:space="0" w:color="auto"/>
            </w:tcBorders>
          </w:tcPr>
          <w:p w:rsidR="006A79E6" w:rsidRPr="00950166" w:rsidRDefault="006A79E6" w:rsidP="00766BAF">
            <w:pPr>
              <w:spacing w:before="100" w:beforeAutospacing="1" w:after="0" w:line="60" w:lineRule="atLeast"/>
              <w:rPr>
                <w:rFonts w:ascii="Times New Roman" w:hAnsi="Times New Roman"/>
                <w:i/>
                <w:sz w:val="24"/>
                <w:szCs w:val="24"/>
                <w:lang w:val="lv-LV"/>
              </w:rPr>
            </w:pPr>
            <w:r w:rsidRPr="00950166">
              <w:rPr>
                <w:rFonts w:ascii="Times New Roman" w:hAnsi="Times New Roman"/>
                <w:i/>
                <w:sz w:val="24"/>
                <w:szCs w:val="24"/>
                <w:lang w:val="lv-LV"/>
              </w:rPr>
              <w:t xml:space="preserve">     Iekšlietu ministrija</w:t>
            </w:r>
          </w:p>
        </w:tc>
        <w:tc>
          <w:tcPr>
            <w:tcW w:w="808" w:type="pct"/>
            <w:tcBorders>
              <w:top w:val="single" w:sz="6" w:space="0" w:color="auto"/>
              <w:left w:val="single" w:sz="4"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4</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4</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4</w:t>
            </w:r>
          </w:p>
        </w:tc>
        <w:tc>
          <w:tcPr>
            <w:tcW w:w="733" w:type="pct"/>
            <w:tcBorders>
              <w:top w:val="single" w:sz="6" w:space="0" w:color="auto"/>
              <w:left w:val="single" w:sz="6" w:space="0" w:color="auto"/>
              <w:bottom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4</w:t>
            </w:r>
          </w:p>
        </w:tc>
      </w:tr>
      <w:tr w:rsidR="006A79E6" w:rsidRPr="00950166" w:rsidTr="00D01996">
        <w:trPr>
          <w:trHeight w:val="60"/>
        </w:trPr>
        <w:tc>
          <w:tcPr>
            <w:tcW w:w="2137" w:type="pct"/>
            <w:tcBorders>
              <w:top w:val="single" w:sz="4" w:space="0" w:color="auto"/>
              <w:left w:val="single" w:sz="4" w:space="0" w:color="auto"/>
              <w:bottom w:val="single" w:sz="4" w:space="0" w:color="auto"/>
              <w:right w:val="single" w:sz="4" w:space="0" w:color="auto"/>
            </w:tcBorders>
          </w:tcPr>
          <w:p w:rsidR="006A79E6" w:rsidRPr="00950166" w:rsidRDefault="006A79E6" w:rsidP="0000350F">
            <w:pPr>
              <w:spacing w:before="100" w:beforeAutospacing="1" w:after="0" w:line="60" w:lineRule="atLeast"/>
              <w:rPr>
                <w:rFonts w:ascii="Times New Roman" w:hAnsi="Times New Roman"/>
                <w:i/>
                <w:sz w:val="24"/>
                <w:szCs w:val="24"/>
                <w:lang w:val="lv-LV"/>
              </w:rPr>
            </w:pPr>
            <w:r w:rsidRPr="00950166">
              <w:rPr>
                <w:rFonts w:ascii="Times New Roman" w:hAnsi="Times New Roman"/>
                <w:i/>
                <w:sz w:val="24"/>
                <w:szCs w:val="24"/>
                <w:lang w:val="lv-LV"/>
              </w:rPr>
              <w:t xml:space="preserve">     Tieslietu ministrija</w:t>
            </w:r>
          </w:p>
        </w:tc>
        <w:tc>
          <w:tcPr>
            <w:tcW w:w="808" w:type="pct"/>
            <w:tcBorders>
              <w:top w:val="single" w:sz="6" w:space="0" w:color="auto"/>
              <w:left w:val="single" w:sz="4"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2</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766BA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2</w:t>
            </w:r>
          </w:p>
        </w:tc>
        <w:tc>
          <w:tcPr>
            <w:tcW w:w="661" w:type="pct"/>
            <w:tcBorders>
              <w:top w:val="single" w:sz="6" w:space="0" w:color="auto"/>
              <w:left w:val="single" w:sz="6" w:space="0" w:color="auto"/>
              <w:bottom w:val="single" w:sz="6" w:space="0" w:color="auto"/>
              <w:right w:val="single" w:sz="6" w:space="0" w:color="auto"/>
            </w:tcBorders>
          </w:tcPr>
          <w:p w:rsidR="006A79E6" w:rsidRPr="00950166" w:rsidRDefault="006A79E6" w:rsidP="0000350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2</w:t>
            </w:r>
          </w:p>
        </w:tc>
        <w:tc>
          <w:tcPr>
            <w:tcW w:w="733" w:type="pct"/>
            <w:tcBorders>
              <w:top w:val="single" w:sz="6" w:space="0" w:color="auto"/>
              <w:left w:val="single" w:sz="6" w:space="0" w:color="auto"/>
              <w:bottom w:val="single" w:sz="6" w:space="0" w:color="auto"/>
            </w:tcBorders>
          </w:tcPr>
          <w:p w:rsidR="006A79E6" w:rsidRPr="00950166" w:rsidRDefault="006A79E6" w:rsidP="0000350F">
            <w:pPr>
              <w:spacing w:after="0" w:line="60" w:lineRule="atLeast"/>
              <w:jc w:val="center"/>
              <w:rPr>
                <w:rFonts w:ascii="Times New Roman" w:hAnsi="Times New Roman"/>
                <w:i/>
                <w:sz w:val="24"/>
                <w:szCs w:val="24"/>
                <w:lang w:val="lv-LV"/>
              </w:rPr>
            </w:pPr>
            <w:r w:rsidRPr="00950166">
              <w:rPr>
                <w:rFonts w:ascii="Times New Roman" w:hAnsi="Times New Roman"/>
                <w:i/>
                <w:sz w:val="24"/>
                <w:szCs w:val="24"/>
                <w:lang w:val="lv-LV"/>
              </w:rPr>
              <w:t>2</w:t>
            </w:r>
          </w:p>
        </w:tc>
      </w:tr>
    </w:tbl>
    <w:p w:rsidR="006A79E6" w:rsidRPr="00950166" w:rsidRDefault="006A79E6" w:rsidP="009E6DDF">
      <w:pPr>
        <w:spacing w:after="0"/>
        <w:rPr>
          <w:rFonts w:ascii="Times New Roman" w:hAnsi="Times New Roman"/>
          <w:sz w:val="24"/>
          <w:szCs w:val="24"/>
          <w:lang w:val="lv-LV"/>
        </w:rPr>
      </w:pPr>
      <w:r w:rsidRPr="00950166">
        <w:rPr>
          <w:rFonts w:ascii="Times New Roman" w:hAnsi="Times New Roman"/>
          <w:sz w:val="24"/>
          <w:szCs w:val="24"/>
          <w:lang w:val="lv-LV"/>
        </w:rPr>
        <w:t>Piezīme. * Šim periodam norādāms indikatīvs līdzekļu apjoms, atsevišķi norādot valsts un pašvaldību budžetus.</w:t>
      </w:r>
    </w:p>
    <w:p w:rsidR="006A79E6" w:rsidRDefault="006A79E6" w:rsidP="009E6DDF">
      <w:pPr>
        <w:spacing w:after="0"/>
        <w:rPr>
          <w:rFonts w:ascii="Times New Roman" w:hAnsi="Times New Roman"/>
          <w:sz w:val="24"/>
          <w:szCs w:val="24"/>
          <w:lang w:val="lv-LV"/>
        </w:rPr>
      </w:pPr>
    </w:p>
    <w:p w:rsidR="00950166" w:rsidRDefault="00950166" w:rsidP="009E6DDF">
      <w:pPr>
        <w:spacing w:after="0"/>
        <w:rPr>
          <w:rFonts w:ascii="Times New Roman" w:hAnsi="Times New Roman"/>
          <w:sz w:val="24"/>
          <w:szCs w:val="24"/>
          <w:lang w:val="lv-LV"/>
        </w:rPr>
      </w:pPr>
    </w:p>
    <w:p w:rsidR="00950166" w:rsidRDefault="00950166" w:rsidP="009E6DDF">
      <w:pPr>
        <w:spacing w:after="0"/>
        <w:rPr>
          <w:rFonts w:ascii="Times New Roman" w:hAnsi="Times New Roman"/>
          <w:sz w:val="24"/>
          <w:szCs w:val="24"/>
          <w:lang w:val="lv-LV"/>
        </w:rPr>
      </w:pPr>
      <w:r>
        <w:rPr>
          <w:rFonts w:ascii="Times New Roman" w:hAnsi="Times New Roman"/>
          <w:sz w:val="24"/>
          <w:szCs w:val="24"/>
          <w:lang w:val="lv-LV"/>
        </w:rPr>
        <w:t>Veselības ministre</w:t>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r>
      <w:r>
        <w:rPr>
          <w:rFonts w:ascii="Times New Roman" w:hAnsi="Times New Roman"/>
          <w:sz w:val="24"/>
          <w:szCs w:val="24"/>
          <w:lang w:val="lv-LV"/>
        </w:rPr>
        <w:tab/>
        <w:t>I.Circene</w:t>
      </w:r>
    </w:p>
    <w:p w:rsidR="00950166" w:rsidRPr="00950166" w:rsidRDefault="00950166" w:rsidP="009E6DDF">
      <w:pPr>
        <w:spacing w:after="0"/>
        <w:rPr>
          <w:rFonts w:ascii="Times New Roman" w:hAnsi="Times New Roman"/>
          <w:sz w:val="24"/>
          <w:szCs w:val="24"/>
          <w:lang w:val="lv-LV"/>
        </w:rPr>
      </w:pPr>
    </w:p>
    <w:p w:rsidR="006A79E6" w:rsidRPr="0071164B" w:rsidRDefault="00950166" w:rsidP="0071164B">
      <w:pPr>
        <w:spacing w:after="0" w:line="240" w:lineRule="auto"/>
        <w:jc w:val="both"/>
        <w:rPr>
          <w:rFonts w:ascii="Times New Roman" w:hAnsi="Times New Roman"/>
          <w:sz w:val="20"/>
          <w:szCs w:val="24"/>
          <w:lang w:val="lv-LV"/>
        </w:rPr>
      </w:pPr>
      <w:r>
        <w:rPr>
          <w:rFonts w:ascii="Times New Roman" w:hAnsi="Times New Roman"/>
          <w:sz w:val="20"/>
          <w:szCs w:val="24"/>
          <w:lang w:val="lv-LV"/>
        </w:rPr>
        <w:t>11.01.2013 15:54</w:t>
      </w:r>
    </w:p>
    <w:p w:rsidR="006A79E6" w:rsidRPr="0071164B" w:rsidRDefault="00950166" w:rsidP="0071164B">
      <w:pPr>
        <w:spacing w:after="0" w:line="240" w:lineRule="auto"/>
        <w:jc w:val="both"/>
        <w:rPr>
          <w:rFonts w:ascii="Times New Roman" w:hAnsi="Times New Roman"/>
          <w:sz w:val="20"/>
          <w:szCs w:val="24"/>
          <w:lang w:val="lv-LV"/>
        </w:rPr>
      </w:pPr>
      <w:r>
        <w:rPr>
          <w:rFonts w:ascii="Times New Roman" w:hAnsi="Times New Roman"/>
          <w:sz w:val="20"/>
          <w:szCs w:val="24"/>
          <w:lang w:val="lv-LV"/>
        </w:rPr>
        <w:t>2 190</w:t>
      </w:r>
    </w:p>
    <w:p w:rsidR="006A79E6" w:rsidRPr="0071164B" w:rsidRDefault="006A79E6" w:rsidP="0071164B">
      <w:pPr>
        <w:spacing w:after="0" w:line="240" w:lineRule="auto"/>
        <w:jc w:val="both"/>
        <w:rPr>
          <w:rFonts w:ascii="Times New Roman" w:hAnsi="Times New Roman"/>
          <w:sz w:val="20"/>
          <w:szCs w:val="24"/>
          <w:lang w:val="lv-LV"/>
        </w:rPr>
      </w:pPr>
      <w:r>
        <w:rPr>
          <w:rFonts w:ascii="Times New Roman" w:hAnsi="Times New Roman"/>
          <w:sz w:val="20"/>
          <w:szCs w:val="24"/>
          <w:lang w:val="lv-LV"/>
        </w:rPr>
        <w:t>Inese Andersone</w:t>
      </w:r>
    </w:p>
    <w:p w:rsidR="006A79E6" w:rsidRPr="0071164B" w:rsidRDefault="006A79E6" w:rsidP="0071164B">
      <w:pPr>
        <w:spacing w:after="0" w:line="240" w:lineRule="auto"/>
        <w:jc w:val="both"/>
        <w:rPr>
          <w:rFonts w:ascii="Times New Roman" w:hAnsi="Times New Roman"/>
          <w:sz w:val="20"/>
          <w:szCs w:val="24"/>
          <w:lang w:val="lv-LV"/>
        </w:rPr>
      </w:pPr>
      <w:r w:rsidRPr="0071164B">
        <w:rPr>
          <w:rFonts w:ascii="Times New Roman" w:hAnsi="Times New Roman"/>
          <w:sz w:val="20"/>
          <w:szCs w:val="24"/>
          <w:lang w:val="lv-LV"/>
        </w:rPr>
        <w:t>tālr. 678761</w:t>
      </w:r>
      <w:r>
        <w:rPr>
          <w:rFonts w:ascii="Times New Roman" w:hAnsi="Times New Roman"/>
          <w:sz w:val="20"/>
          <w:szCs w:val="24"/>
          <w:lang w:val="lv-LV"/>
        </w:rPr>
        <w:t>87</w:t>
      </w:r>
    </w:p>
    <w:p w:rsidR="006A79E6" w:rsidRDefault="006A79E6" w:rsidP="0071164B">
      <w:pPr>
        <w:spacing w:after="0" w:line="240" w:lineRule="auto"/>
        <w:rPr>
          <w:rFonts w:ascii="Times New Roman" w:hAnsi="Times New Roman"/>
          <w:sz w:val="20"/>
          <w:szCs w:val="24"/>
          <w:lang w:val="lv-LV"/>
        </w:rPr>
      </w:pPr>
      <w:r>
        <w:rPr>
          <w:rFonts w:ascii="Times New Roman" w:hAnsi="Times New Roman"/>
          <w:sz w:val="20"/>
          <w:szCs w:val="24"/>
          <w:lang w:val="lv-LV"/>
        </w:rPr>
        <w:t>Inese.Andersone</w:t>
      </w:r>
      <w:r w:rsidRPr="0071164B">
        <w:rPr>
          <w:rFonts w:ascii="Times New Roman" w:hAnsi="Times New Roman"/>
          <w:sz w:val="20"/>
          <w:szCs w:val="24"/>
          <w:lang w:val="lv-LV"/>
        </w:rPr>
        <w:t>@vm.gov.lv</w:t>
      </w:r>
    </w:p>
    <w:sectPr w:rsidR="006A79E6" w:rsidSect="00022262">
      <w:headerReference w:type="default" r:id="rId8"/>
      <w:footerReference w:type="default" r:id="rId9"/>
      <w:pgSz w:w="15840" w:h="12240" w:orient="landscape"/>
      <w:pgMar w:top="1134" w:right="1418"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79E6" w:rsidRDefault="006A79E6" w:rsidP="00FC0D67">
      <w:pPr>
        <w:spacing w:after="0" w:line="240" w:lineRule="auto"/>
      </w:pPr>
      <w:r>
        <w:separator/>
      </w:r>
    </w:p>
  </w:endnote>
  <w:endnote w:type="continuationSeparator" w:id="0">
    <w:p w:rsidR="006A79E6" w:rsidRDefault="006A79E6" w:rsidP="00FC0D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sig w:usb0="00000000" w:usb1="00000000" w:usb2="00000000" w:usb3="00000000" w:csb0="00000000"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E6" w:rsidRPr="004C6777" w:rsidRDefault="006A79E6" w:rsidP="004C6777">
    <w:pPr>
      <w:spacing w:after="0" w:line="240" w:lineRule="auto"/>
      <w:rPr>
        <w:rFonts w:ascii="Times New Roman" w:hAnsi="Times New Roman"/>
        <w:bCs/>
        <w:sz w:val="20"/>
        <w:szCs w:val="20"/>
        <w:lang w:val="lv-LV"/>
      </w:rPr>
    </w:pPr>
    <w:r>
      <w:rPr>
        <w:rFonts w:ascii="Times New Roman" w:hAnsi="Times New Roman"/>
        <w:sz w:val="20"/>
        <w:szCs w:val="20"/>
      </w:rPr>
      <w:t>VMKoncp4_</w:t>
    </w:r>
    <w:r w:rsidR="00E5309F">
      <w:rPr>
        <w:rFonts w:ascii="Times New Roman" w:hAnsi="Times New Roman"/>
        <w:sz w:val="20"/>
        <w:szCs w:val="20"/>
      </w:rPr>
      <w:t>11</w:t>
    </w:r>
    <w:r w:rsidR="001939B3" w:rsidRPr="001939B3">
      <w:rPr>
        <w:rFonts w:ascii="Times New Roman" w:hAnsi="Times New Roman"/>
        <w:sz w:val="20"/>
        <w:szCs w:val="20"/>
      </w:rPr>
      <w:t>0113</w:t>
    </w:r>
    <w:r w:rsidRPr="004C6777">
      <w:rPr>
        <w:rFonts w:ascii="Times New Roman" w:hAnsi="Times New Roman"/>
        <w:sz w:val="20"/>
        <w:szCs w:val="20"/>
      </w:rPr>
      <w:t xml:space="preserve">_VA_fin; </w:t>
    </w:r>
    <w:r w:rsidRPr="004C6777">
      <w:rPr>
        <w:rFonts w:ascii="Times New Roman" w:hAnsi="Times New Roman"/>
        <w:bCs/>
        <w:sz w:val="20"/>
        <w:szCs w:val="20"/>
        <w:lang w:val="lv-LV"/>
      </w:rPr>
      <w:t>Koncepcijas projekta par veselības aprūpes sistēmas finansēšanas modeli ietekme uz valsts un pašvaldību budžetiem 1.modelim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79E6" w:rsidRDefault="006A79E6" w:rsidP="00FC0D67">
      <w:pPr>
        <w:spacing w:after="0" w:line="240" w:lineRule="auto"/>
      </w:pPr>
      <w:r>
        <w:separator/>
      </w:r>
    </w:p>
  </w:footnote>
  <w:footnote w:type="continuationSeparator" w:id="0">
    <w:p w:rsidR="006A79E6" w:rsidRDefault="006A79E6" w:rsidP="00FC0D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9E6" w:rsidRDefault="0017035E">
    <w:pPr>
      <w:pStyle w:val="Header"/>
      <w:jc w:val="center"/>
    </w:pPr>
    <w:fldSimple w:instr=" PAGE   \* MERGEFORMAT ">
      <w:r w:rsidR="006D7314">
        <w:rPr>
          <w:noProof/>
        </w:rPr>
        <w:t>1</w:t>
      </w:r>
    </w:fldSimple>
  </w:p>
  <w:p w:rsidR="006A79E6" w:rsidRDefault="006A79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5696"/>
    <w:multiLevelType w:val="hybridMultilevel"/>
    <w:tmpl w:val="D2A8131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nsid w:val="1C912D27"/>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20A93B34"/>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2315115D"/>
    <w:multiLevelType w:val="multilevel"/>
    <w:tmpl w:val="57221D86"/>
    <w:lvl w:ilvl="0">
      <w:start w:val="1"/>
      <w:numFmt w:val="decimal"/>
      <w:lvlText w:val="%1."/>
      <w:lvlJc w:val="left"/>
      <w:pPr>
        <w:ind w:left="720" w:hanging="360"/>
      </w:pPr>
      <w:rPr>
        <w:rFonts w:cs="Times New Roman" w:hint="default"/>
      </w:rPr>
    </w:lvl>
    <w:lvl w:ilvl="1">
      <w:start w:val="10"/>
      <w:numFmt w:val="decimal"/>
      <w:isLgl/>
      <w:lvlText w:val="%1.%2."/>
      <w:lvlJc w:val="left"/>
      <w:pPr>
        <w:ind w:left="1215" w:hanging="855"/>
      </w:pPr>
      <w:rPr>
        <w:rFonts w:cs="Times New Roman" w:hint="default"/>
      </w:rPr>
    </w:lvl>
    <w:lvl w:ilvl="2">
      <w:start w:val="1"/>
      <w:numFmt w:val="decimal"/>
      <w:isLgl/>
      <w:lvlText w:val="%1.%2.%3."/>
      <w:lvlJc w:val="left"/>
      <w:pPr>
        <w:ind w:left="1215" w:hanging="855"/>
      </w:pPr>
      <w:rPr>
        <w:rFonts w:cs="Times New Roman" w:hint="default"/>
      </w:rPr>
    </w:lvl>
    <w:lvl w:ilvl="3">
      <w:start w:val="1"/>
      <w:numFmt w:val="decimal"/>
      <w:isLgl/>
      <w:lvlText w:val="%1.%2.%3.%4."/>
      <w:lvlJc w:val="left"/>
      <w:pPr>
        <w:ind w:left="1215" w:hanging="855"/>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nsid w:val="29055ABB"/>
    <w:multiLevelType w:val="hybridMultilevel"/>
    <w:tmpl w:val="1E4A6B78"/>
    <w:lvl w:ilvl="0" w:tplc="FCB20114">
      <w:start w:val="14"/>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F2E178F"/>
    <w:multiLevelType w:val="multilevel"/>
    <w:tmpl w:val="7708E79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
    <w:nsid w:val="3F6F5473"/>
    <w:multiLevelType w:val="hybridMultilevel"/>
    <w:tmpl w:val="A12C8B20"/>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7">
    <w:nsid w:val="4F0F32BD"/>
    <w:multiLevelType w:val="hybridMultilevel"/>
    <w:tmpl w:val="39560E6A"/>
    <w:lvl w:ilvl="0" w:tplc="9B06BDA0">
      <w:start w:val="10"/>
      <w:numFmt w:val="decimal"/>
      <w:lvlText w:val="%1"/>
      <w:lvlJc w:val="left"/>
      <w:pPr>
        <w:ind w:left="720" w:hanging="360"/>
      </w:pPr>
      <w:rPr>
        <w:rFonts w:cs="Times New Roman" w:hint="default"/>
        <w:b/>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nsid w:val="50C71CE4"/>
    <w:multiLevelType w:val="hybridMultilevel"/>
    <w:tmpl w:val="2624A148"/>
    <w:lvl w:ilvl="0" w:tplc="FCB20114">
      <w:start w:val="14"/>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CB30B3D"/>
    <w:multiLevelType w:val="hybridMultilevel"/>
    <w:tmpl w:val="A9A0F0E2"/>
    <w:lvl w:ilvl="0" w:tplc="FCB20114">
      <w:start w:val="14"/>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CE63B19"/>
    <w:multiLevelType w:val="hybridMultilevel"/>
    <w:tmpl w:val="C74EA9D2"/>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1">
    <w:nsid w:val="679805AD"/>
    <w:multiLevelType w:val="hybridMultilevel"/>
    <w:tmpl w:val="DE84EF92"/>
    <w:lvl w:ilvl="0" w:tplc="FCB20114">
      <w:start w:val="14"/>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A3710B3"/>
    <w:multiLevelType w:val="multilevel"/>
    <w:tmpl w:val="A7B077A4"/>
    <w:lvl w:ilvl="0">
      <w:start w:val="1"/>
      <w:numFmt w:val="decimal"/>
      <w:pStyle w:val="Virsraksti1"/>
      <w:isLgl/>
      <w:suff w:val="space"/>
      <w:lvlText w:val="%1."/>
      <w:lvlJc w:val="left"/>
      <w:pPr>
        <w:ind w:left="1561" w:hanging="1561"/>
      </w:pPr>
      <w:rPr>
        <w:rFonts w:ascii="Times New Roman" w:hAnsi="Times New Roman" w:cs="Times New Roman" w:hint="default"/>
        <w:b/>
        <w:i w:val="0"/>
        <w:caps w:val="0"/>
        <w:strike w:val="0"/>
        <w:dstrike w:val="0"/>
        <w:outline w:val="0"/>
        <w:shadow w:val="0"/>
        <w:emboss w:val="0"/>
        <w:imprint w:val="0"/>
        <w:vanish w:val="0"/>
        <w:sz w:val="32"/>
        <w:vertAlign w:val="baseline"/>
      </w:rPr>
    </w:lvl>
    <w:lvl w:ilvl="1">
      <w:start w:val="2"/>
      <w:numFmt w:val="decimal"/>
      <w:lvlRestart w:val="0"/>
      <w:pStyle w:val="Virsraksti2"/>
      <w:isLgl/>
      <w:suff w:val="space"/>
      <w:lvlText w:val="%1.%2."/>
      <w:lvlJc w:val="left"/>
      <w:pPr>
        <w:ind w:left="284" w:firstLine="284"/>
      </w:pPr>
      <w:rPr>
        <w:rFonts w:ascii="Times New Roman Bold" w:hAnsi="Times New Roman Bold" w:cs="Times New Roman" w:hint="default"/>
        <w:b/>
        <w:i w:val="0"/>
        <w:sz w:val="28"/>
      </w:rPr>
    </w:lvl>
    <w:lvl w:ilvl="2">
      <w:start w:val="1"/>
      <w:numFmt w:val="decimal"/>
      <w:lvlRestart w:val="0"/>
      <w:pStyle w:val="Virsraksti3"/>
      <w:isLgl/>
      <w:suff w:val="space"/>
      <w:lvlText w:val="%1.%2.%3."/>
      <w:lvlJc w:val="left"/>
      <w:pPr>
        <w:ind w:left="142" w:firstLine="284"/>
      </w:pPr>
      <w:rPr>
        <w:rFonts w:ascii="Times New Roman Bold" w:hAnsi="Times New Roman Bold" w:cs="Times New Roman" w:hint="default"/>
        <w:b/>
        <w:i w:val="0"/>
        <w:spacing w:val="0"/>
        <w:w w:val="100"/>
        <w:position w:val="0"/>
        <w:sz w:val="24"/>
      </w:rPr>
    </w:lvl>
    <w:lvl w:ilvl="3">
      <w:start w:val="41"/>
      <w:numFmt w:val="none"/>
      <w:lvlRestart w:val="0"/>
      <w:pStyle w:val="Statuti"/>
      <w:isLgl/>
      <w:suff w:val="space"/>
      <w:lvlText w:val=""/>
      <w:lvlJc w:val="left"/>
      <w:pPr>
        <w:ind w:firstLine="284"/>
      </w:pPr>
      <w:rPr>
        <w:rFonts w:ascii="Arial Narrow" w:hAnsi="Arial Narrow" w:cs="Times New Roman" w:hint="default"/>
        <w:b/>
        <w:i w:val="0"/>
        <w:sz w:val="28"/>
      </w:rPr>
    </w:lvl>
    <w:lvl w:ilvl="4">
      <w:start w:val="4"/>
      <w:numFmt w:val="decimal"/>
      <w:pStyle w:val="Virsraksti4"/>
      <w:isLgl/>
      <w:suff w:val="space"/>
      <w:lvlText w:val="%1.%2.%3.%5"/>
      <w:lvlJc w:val="left"/>
      <w:pPr>
        <w:ind w:left="1843" w:firstLine="284"/>
      </w:pPr>
      <w:rPr>
        <w:rFonts w:ascii="Times New Roman" w:hAnsi="Times New Roman" w:cs="Times New Roman" w:hint="default"/>
        <w:sz w:val="24"/>
      </w:rPr>
    </w:lvl>
    <w:lvl w:ilvl="5">
      <w:start w:val="1"/>
      <w:numFmt w:val="none"/>
      <w:suff w:val="space"/>
      <w:lvlText w:val=""/>
      <w:lvlJc w:val="left"/>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2160"/>
        </w:tabs>
        <w:ind w:left="2160" w:hanging="2160"/>
      </w:pPr>
      <w:rPr>
        <w:rFonts w:cs="Times New Roman" w:hint="default"/>
      </w:rPr>
    </w:lvl>
    <w:lvl w:ilvl="8">
      <w:start w:val="1"/>
      <w:numFmt w:val="decimal"/>
      <w:isLgl/>
      <w:lvlText w:val="%1.%2.%3.%4.%5.%6.%7.%8.%9."/>
      <w:lvlJc w:val="left"/>
      <w:pPr>
        <w:tabs>
          <w:tab w:val="num" w:pos="2520"/>
        </w:tabs>
        <w:ind w:left="2520" w:hanging="2520"/>
      </w:pPr>
      <w:rPr>
        <w:rFonts w:cs="Times New Roman" w:hint="default"/>
      </w:rPr>
    </w:lvl>
  </w:abstractNum>
  <w:abstractNum w:abstractNumId="13">
    <w:nsid w:val="6F0B51C2"/>
    <w:multiLevelType w:val="hybridMultilevel"/>
    <w:tmpl w:val="B164B762"/>
    <w:lvl w:ilvl="0" w:tplc="8BB40CA0">
      <w:start w:val="1"/>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2935050"/>
    <w:multiLevelType w:val="hybridMultilevel"/>
    <w:tmpl w:val="B8E6E6EA"/>
    <w:lvl w:ilvl="0" w:tplc="8BB40CA0">
      <w:start w:val="1"/>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C1F141D"/>
    <w:multiLevelType w:val="multilevel"/>
    <w:tmpl w:val="DEF893F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15"/>
  </w:num>
  <w:num w:numId="3">
    <w:abstractNumId w:val="2"/>
  </w:num>
  <w:num w:numId="4">
    <w:abstractNumId w:val="5"/>
  </w:num>
  <w:num w:numId="5">
    <w:abstractNumId w:val="12"/>
  </w:num>
  <w:num w:numId="6">
    <w:abstractNumId w:val="9"/>
  </w:num>
  <w:num w:numId="7">
    <w:abstractNumId w:val="8"/>
  </w:num>
  <w:num w:numId="8">
    <w:abstractNumId w:val="13"/>
  </w:num>
  <w:num w:numId="9">
    <w:abstractNumId w:val="14"/>
  </w:num>
  <w:num w:numId="10">
    <w:abstractNumId w:val="11"/>
  </w:num>
  <w:num w:numId="11">
    <w:abstractNumId w:val="4"/>
  </w:num>
  <w:num w:numId="12">
    <w:abstractNumId w:val="6"/>
  </w:num>
  <w:num w:numId="13">
    <w:abstractNumId w:val="10"/>
  </w:num>
  <w:num w:numId="14">
    <w:abstractNumId w:val="0"/>
  </w:num>
  <w:num w:numId="15">
    <w:abstractNumId w:val="3"/>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C0D67"/>
    <w:rsid w:val="0000350F"/>
    <w:rsid w:val="00014007"/>
    <w:rsid w:val="000150B2"/>
    <w:rsid w:val="0001744A"/>
    <w:rsid w:val="00022262"/>
    <w:rsid w:val="0002627D"/>
    <w:rsid w:val="0003764C"/>
    <w:rsid w:val="0004145E"/>
    <w:rsid w:val="00054D7A"/>
    <w:rsid w:val="00056BCD"/>
    <w:rsid w:val="00086AD2"/>
    <w:rsid w:val="00087B61"/>
    <w:rsid w:val="00092E7D"/>
    <w:rsid w:val="000A1EB0"/>
    <w:rsid w:val="000A6904"/>
    <w:rsid w:val="000B1BB8"/>
    <w:rsid w:val="000C2091"/>
    <w:rsid w:val="000D6E0E"/>
    <w:rsid w:val="000E3120"/>
    <w:rsid w:val="000E5307"/>
    <w:rsid w:val="000E5997"/>
    <w:rsid w:val="000F6D5A"/>
    <w:rsid w:val="00110B5C"/>
    <w:rsid w:val="00111076"/>
    <w:rsid w:val="00116CEF"/>
    <w:rsid w:val="00136AFA"/>
    <w:rsid w:val="0014444E"/>
    <w:rsid w:val="0016422B"/>
    <w:rsid w:val="00165265"/>
    <w:rsid w:val="001671A0"/>
    <w:rsid w:val="0017035E"/>
    <w:rsid w:val="001721F6"/>
    <w:rsid w:val="0018303F"/>
    <w:rsid w:val="001939B3"/>
    <w:rsid w:val="00196599"/>
    <w:rsid w:val="001A0F79"/>
    <w:rsid w:val="001B16BA"/>
    <w:rsid w:val="001C07E3"/>
    <w:rsid w:val="001C2C8F"/>
    <w:rsid w:val="001C6DA1"/>
    <w:rsid w:val="001D0F67"/>
    <w:rsid w:val="001D21D7"/>
    <w:rsid w:val="001E1278"/>
    <w:rsid w:val="001E1AB8"/>
    <w:rsid w:val="001E59AE"/>
    <w:rsid w:val="002035FE"/>
    <w:rsid w:val="0020581F"/>
    <w:rsid w:val="0020754F"/>
    <w:rsid w:val="00210D87"/>
    <w:rsid w:val="00227AF3"/>
    <w:rsid w:val="00241AB5"/>
    <w:rsid w:val="0024322E"/>
    <w:rsid w:val="00245937"/>
    <w:rsid w:val="002706D5"/>
    <w:rsid w:val="00273AB9"/>
    <w:rsid w:val="002D4670"/>
    <w:rsid w:val="002F5C14"/>
    <w:rsid w:val="002F69C4"/>
    <w:rsid w:val="00301DDE"/>
    <w:rsid w:val="0030207A"/>
    <w:rsid w:val="00303860"/>
    <w:rsid w:val="00325E22"/>
    <w:rsid w:val="003334A3"/>
    <w:rsid w:val="0035055C"/>
    <w:rsid w:val="00355417"/>
    <w:rsid w:val="003603C5"/>
    <w:rsid w:val="00362108"/>
    <w:rsid w:val="00363B37"/>
    <w:rsid w:val="00366993"/>
    <w:rsid w:val="00366F18"/>
    <w:rsid w:val="00371B02"/>
    <w:rsid w:val="00373066"/>
    <w:rsid w:val="00386588"/>
    <w:rsid w:val="00392028"/>
    <w:rsid w:val="0039677D"/>
    <w:rsid w:val="003A0A97"/>
    <w:rsid w:val="003A71D4"/>
    <w:rsid w:val="003B34E2"/>
    <w:rsid w:val="003C240A"/>
    <w:rsid w:val="003D0DEE"/>
    <w:rsid w:val="003D65D0"/>
    <w:rsid w:val="003F1681"/>
    <w:rsid w:val="003F383F"/>
    <w:rsid w:val="003F482E"/>
    <w:rsid w:val="003F701A"/>
    <w:rsid w:val="004004C8"/>
    <w:rsid w:val="004019AE"/>
    <w:rsid w:val="00407A5A"/>
    <w:rsid w:val="004104CB"/>
    <w:rsid w:val="00412156"/>
    <w:rsid w:val="00425C0A"/>
    <w:rsid w:val="00425C30"/>
    <w:rsid w:val="0043693E"/>
    <w:rsid w:val="00436FBD"/>
    <w:rsid w:val="004412AF"/>
    <w:rsid w:val="00441C92"/>
    <w:rsid w:val="00455466"/>
    <w:rsid w:val="004629A0"/>
    <w:rsid w:val="00463F9A"/>
    <w:rsid w:val="00474591"/>
    <w:rsid w:val="004745C2"/>
    <w:rsid w:val="004755F0"/>
    <w:rsid w:val="00481B50"/>
    <w:rsid w:val="004A3C66"/>
    <w:rsid w:val="004C3F73"/>
    <w:rsid w:val="004C4292"/>
    <w:rsid w:val="004C4376"/>
    <w:rsid w:val="004C6777"/>
    <w:rsid w:val="004D4A86"/>
    <w:rsid w:val="004D6182"/>
    <w:rsid w:val="004E5C6E"/>
    <w:rsid w:val="004F3087"/>
    <w:rsid w:val="004F377E"/>
    <w:rsid w:val="004F57DA"/>
    <w:rsid w:val="0050155A"/>
    <w:rsid w:val="00503E46"/>
    <w:rsid w:val="00517BBD"/>
    <w:rsid w:val="00531A87"/>
    <w:rsid w:val="00541C39"/>
    <w:rsid w:val="00545E6F"/>
    <w:rsid w:val="0054685D"/>
    <w:rsid w:val="00557E7A"/>
    <w:rsid w:val="0056413F"/>
    <w:rsid w:val="00564CCC"/>
    <w:rsid w:val="00564FB6"/>
    <w:rsid w:val="00566F36"/>
    <w:rsid w:val="005724BE"/>
    <w:rsid w:val="00572CF1"/>
    <w:rsid w:val="0059126C"/>
    <w:rsid w:val="00592ED3"/>
    <w:rsid w:val="0059603C"/>
    <w:rsid w:val="005A22C9"/>
    <w:rsid w:val="005A73FD"/>
    <w:rsid w:val="005C0D07"/>
    <w:rsid w:val="005C3D4B"/>
    <w:rsid w:val="005C6456"/>
    <w:rsid w:val="005C6993"/>
    <w:rsid w:val="005D52D7"/>
    <w:rsid w:val="005F0528"/>
    <w:rsid w:val="005F2469"/>
    <w:rsid w:val="005F6091"/>
    <w:rsid w:val="0060507B"/>
    <w:rsid w:val="00610D97"/>
    <w:rsid w:val="006170BE"/>
    <w:rsid w:val="006250BC"/>
    <w:rsid w:val="0063084C"/>
    <w:rsid w:val="00637EA0"/>
    <w:rsid w:val="00640BA1"/>
    <w:rsid w:val="00655752"/>
    <w:rsid w:val="00660E42"/>
    <w:rsid w:val="00662DAC"/>
    <w:rsid w:val="00666747"/>
    <w:rsid w:val="00675BC9"/>
    <w:rsid w:val="006768C2"/>
    <w:rsid w:val="00682A5F"/>
    <w:rsid w:val="00686734"/>
    <w:rsid w:val="006A1A7C"/>
    <w:rsid w:val="006A2791"/>
    <w:rsid w:val="006A4C6A"/>
    <w:rsid w:val="006A79E6"/>
    <w:rsid w:val="006B5F2F"/>
    <w:rsid w:val="006C176A"/>
    <w:rsid w:val="006D25B6"/>
    <w:rsid w:val="006D2A00"/>
    <w:rsid w:val="006D5D35"/>
    <w:rsid w:val="006D7314"/>
    <w:rsid w:val="007055AE"/>
    <w:rsid w:val="0071164B"/>
    <w:rsid w:val="00711F2B"/>
    <w:rsid w:val="007165A2"/>
    <w:rsid w:val="00721B28"/>
    <w:rsid w:val="0072725B"/>
    <w:rsid w:val="00737A5C"/>
    <w:rsid w:val="00745B78"/>
    <w:rsid w:val="00745D53"/>
    <w:rsid w:val="007501D4"/>
    <w:rsid w:val="00751EFF"/>
    <w:rsid w:val="0075567C"/>
    <w:rsid w:val="00762A29"/>
    <w:rsid w:val="007632CE"/>
    <w:rsid w:val="00766BAF"/>
    <w:rsid w:val="00766F6E"/>
    <w:rsid w:val="00771040"/>
    <w:rsid w:val="007739FD"/>
    <w:rsid w:val="00791C29"/>
    <w:rsid w:val="00792ABC"/>
    <w:rsid w:val="007B1B75"/>
    <w:rsid w:val="007B21E1"/>
    <w:rsid w:val="007B6717"/>
    <w:rsid w:val="007C19BB"/>
    <w:rsid w:val="007C485F"/>
    <w:rsid w:val="007C5428"/>
    <w:rsid w:val="007C72D8"/>
    <w:rsid w:val="007D64CF"/>
    <w:rsid w:val="007E0E28"/>
    <w:rsid w:val="007F0C13"/>
    <w:rsid w:val="007F0E1D"/>
    <w:rsid w:val="007F6C91"/>
    <w:rsid w:val="0081713B"/>
    <w:rsid w:val="0083321E"/>
    <w:rsid w:val="00834F86"/>
    <w:rsid w:val="00841B10"/>
    <w:rsid w:val="008524C1"/>
    <w:rsid w:val="008607F1"/>
    <w:rsid w:val="00860FB4"/>
    <w:rsid w:val="00874421"/>
    <w:rsid w:val="00880675"/>
    <w:rsid w:val="00885086"/>
    <w:rsid w:val="008861AC"/>
    <w:rsid w:val="008868DD"/>
    <w:rsid w:val="00887933"/>
    <w:rsid w:val="008954D0"/>
    <w:rsid w:val="008961B3"/>
    <w:rsid w:val="008A3D68"/>
    <w:rsid w:val="008A6822"/>
    <w:rsid w:val="008A7B33"/>
    <w:rsid w:val="008C1EA2"/>
    <w:rsid w:val="008C7921"/>
    <w:rsid w:val="008D10C2"/>
    <w:rsid w:val="008D5E65"/>
    <w:rsid w:val="008E2980"/>
    <w:rsid w:val="008E3133"/>
    <w:rsid w:val="008F0836"/>
    <w:rsid w:val="0090288C"/>
    <w:rsid w:val="009104EC"/>
    <w:rsid w:val="00911EB9"/>
    <w:rsid w:val="0091276F"/>
    <w:rsid w:val="009200EE"/>
    <w:rsid w:val="009206EF"/>
    <w:rsid w:val="00950166"/>
    <w:rsid w:val="00951FF5"/>
    <w:rsid w:val="00953A9B"/>
    <w:rsid w:val="0095699F"/>
    <w:rsid w:val="00963309"/>
    <w:rsid w:val="00974864"/>
    <w:rsid w:val="009820FD"/>
    <w:rsid w:val="00997CB7"/>
    <w:rsid w:val="009B61BF"/>
    <w:rsid w:val="009B7100"/>
    <w:rsid w:val="009C6296"/>
    <w:rsid w:val="009C78CE"/>
    <w:rsid w:val="009D469C"/>
    <w:rsid w:val="009D699A"/>
    <w:rsid w:val="009E4BB4"/>
    <w:rsid w:val="009E6DDF"/>
    <w:rsid w:val="00A01D3A"/>
    <w:rsid w:val="00A0319A"/>
    <w:rsid w:val="00A03944"/>
    <w:rsid w:val="00A12ADA"/>
    <w:rsid w:val="00A13785"/>
    <w:rsid w:val="00A16179"/>
    <w:rsid w:val="00A17137"/>
    <w:rsid w:val="00A17308"/>
    <w:rsid w:val="00A2465F"/>
    <w:rsid w:val="00A404C4"/>
    <w:rsid w:val="00A509C3"/>
    <w:rsid w:val="00A50D50"/>
    <w:rsid w:val="00A515ED"/>
    <w:rsid w:val="00A52950"/>
    <w:rsid w:val="00A621FE"/>
    <w:rsid w:val="00A64EC6"/>
    <w:rsid w:val="00A70389"/>
    <w:rsid w:val="00A714ED"/>
    <w:rsid w:val="00A71742"/>
    <w:rsid w:val="00A720B8"/>
    <w:rsid w:val="00A8246F"/>
    <w:rsid w:val="00A850CC"/>
    <w:rsid w:val="00AB34D1"/>
    <w:rsid w:val="00AB3B38"/>
    <w:rsid w:val="00AB79F2"/>
    <w:rsid w:val="00AD0CE1"/>
    <w:rsid w:val="00AD111C"/>
    <w:rsid w:val="00AD25F5"/>
    <w:rsid w:val="00AD7D2E"/>
    <w:rsid w:val="00B0172E"/>
    <w:rsid w:val="00B0223A"/>
    <w:rsid w:val="00B0242C"/>
    <w:rsid w:val="00B234BD"/>
    <w:rsid w:val="00B277E8"/>
    <w:rsid w:val="00B27CE3"/>
    <w:rsid w:val="00B27FC9"/>
    <w:rsid w:val="00B34DF4"/>
    <w:rsid w:val="00B365F9"/>
    <w:rsid w:val="00B42F80"/>
    <w:rsid w:val="00B46611"/>
    <w:rsid w:val="00B51EB9"/>
    <w:rsid w:val="00B565E9"/>
    <w:rsid w:val="00B60E79"/>
    <w:rsid w:val="00B67BA2"/>
    <w:rsid w:val="00B73689"/>
    <w:rsid w:val="00B87CE8"/>
    <w:rsid w:val="00BA30B4"/>
    <w:rsid w:val="00BA5F2A"/>
    <w:rsid w:val="00BC1807"/>
    <w:rsid w:val="00BC2FFE"/>
    <w:rsid w:val="00BD75C5"/>
    <w:rsid w:val="00BE1855"/>
    <w:rsid w:val="00C25586"/>
    <w:rsid w:val="00C255E9"/>
    <w:rsid w:val="00C448B0"/>
    <w:rsid w:val="00C463EE"/>
    <w:rsid w:val="00C552FD"/>
    <w:rsid w:val="00C6008A"/>
    <w:rsid w:val="00C6502D"/>
    <w:rsid w:val="00C677B8"/>
    <w:rsid w:val="00C730C4"/>
    <w:rsid w:val="00C83CAF"/>
    <w:rsid w:val="00CA2242"/>
    <w:rsid w:val="00CB32AA"/>
    <w:rsid w:val="00CE4CF5"/>
    <w:rsid w:val="00CF1850"/>
    <w:rsid w:val="00CF557B"/>
    <w:rsid w:val="00D01996"/>
    <w:rsid w:val="00D04CC8"/>
    <w:rsid w:val="00D04DB6"/>
    <w:rsid w:val="00D13AC3"/>
    <w:rsid w:val="00D16F85"/>
    <w:rsid w:val="00D40C0E"/>
    <w:rsid w:val="00D47524"/>
    <w:rsid w:val="00D548BC"/>
    <w:rsid w:val="00D65B51"/>
    <w:rsid w:val="00D71346"/>
    <w:rsid w:val="00D7278A"/>
    <w:rsid w:val="00D84C0C"/>
    <w:rsid w:val="00D955B2"/>
    <w:rsid w:val="00D965F0"/>
    <w:rsid w:val="00DE0AEE"/>
    <w:rsid w:val="00DF1464"/>
    <w:rsid w:val="00E00BBE"/>
    <w:rsid w:val="00E02849"/>
    <w:rsid w:val="00E070DD"/>
    <w:rsid w:val="00E1350E"/>
    <w:rsid w:val="00E13DDE"/>
    <w:rsid w:val="00E3624E"/>
    <w:rsid w:val="00E376AB"/>
    <w:rsid w:val="00E37E48"/>
    <w:rsid w:val="00E43E49"/>
    <w:rsid w:val="00E5309F"/>
    <w:rsid w:val="00E663EE"/>
    <w:rsid w:val="00E70394"/>
    <w:rsid w:val="00E72502"/>
    <w:rsid w:val="00E930E6"/>
    <w:rsid w:val="00E933BB"/>
    <w:rsid w:val="00E97A93"/>
    <w:rsid w:val="00EA0549"/>
    <w:rsid w:val="00EB0067"/>
    <w:rsid w:val="00EB6979"/>
    <w:rsid w:val="00EC7B2C"/>
    <w:rsid w:val="00ED3AC0"/>
    <w:rsid w:val="00EE06AC"/>
    <w:rsid w:val="00EE5678"/>
    <w:rsid w:val="00EF4AF7"/>
    <w:rsid w:val="00F2154D"/>
    <w:rsid w:val="00F36A9B"/>
    <w:rsid w:val="00F56C01"/>
    <w:rsid w:val="00F602AA"/>
    <w:rsid w:val="00F6067C"/>
    <w:rsid w:val="00F63332"/>
    <w:rsid w:val="00F63905"/>
    <w:rsid w:val="00F70AC6"/>
    <w:rsid w:val="00F754F1"/>
    <w:rsid w:val="00F76F2C"/>
    <w:rsid w:val="00F82089"/>
    <w:rsid w:val="00F83FBF"/>
    <w:rsid w:val="00F95BC3"/>
    <w:rsid w:val="00F9716E"/>
    <w:rsid w:val="00FA3E0B"/>
    <w:rsid w:val="00FA4D97"/>
    <w:rsid w:val="00FB27FD"/>
    <w:rsid w:val="00FB4911"/>
    <w:rsid w:val="00FC0D67"/>
    <w:rsid w:val="00FD3819"/>
    <w:rsid w:val="00FD652F"/>
    <w:rsid w:val="00FF3C8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D67"/>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0D67"/>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FC0D67"/>
    <w:rPr>
      <w:rFonts w:cs="Times New Roman"/>
    </w:rPr>
  </w:style>
  <w:style w:type="paragraph" w:styleId="Footer">
    <w:name w:val="footer"/>
    <w:basedOn w:val="Normal"/>
    <w:link w:val="FooterChar"/>
    <w:uiPriority w:val="99"/>
    <w:rsid w:val="00FC0D67"/>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FC0D67"/>
    <w:rPr>
      <w:rFonts w:cs="Times New Roman"/>
    </w:rPr>
  </w:style>
  <w:style w:type="paragraph" w:styleId="ListParagraph">
    <w:name w:val="List Paragraph"/>
    <w:basedOn w:val="Normal"/>
    <w:uiPriority w:val="99"/>
    <w:qFormat/>
    <w:rsid w:val="003B34E2"/>
    <w:pPr>
      <w:ind w:left="720"/>
      <w:contextualSpacing/>
    </w:pPr>
  </w:style>
  <w:style w:type="paragraph" w:customStyle="1" w:styleId="Statuti">
    <w:name w:val="Statuti"/>
    <w:basedOn w:val="Normal"/>
    <w:uiPriority w:val="99"/>
    <w:rsid w:val="00EA0549"/>
    <w:pPr>
      <w:numPr>
        <w:ilvl w:val="3"/>
        <w:numId w:val="5"/>
      </w:numPr>
      <w:spacing w:after="0" w:line="360" w:lineRule="auto"/>
      <w:jc w:val="both"/>
    </w:pPr>
    <w:rPr>
      <w:rFonts w:ascii="Arial Narrow" w:eastAsia="Times New Roman" w:hAnsi="Arial Narrow"/>
      <w:sz w:val="24"/>
      <w:szCs w:val="20"/>
      <w:lang w:val="lv-LV" w:eastAsia="lv-LV"/>
    </w:rPr>
  </w:style>
  <w:style w:type="paragraph" w:customStyle="1" w:styleId="Virsraksti4">
    <w:name w:val="Virsraksti4"/>
    <w:basedOn w:val="Normal"/>
    <w:uiPriority w:val="99"/>
    <w:rsid w:val="00EA0549"/>
    <w:pPr>
      <w:numPr>
        <w:ilvl w:val="4"/>
        <w:numId w:val="5"/>
      </w:numPr>
      <w:spacing w:before="60" w:after="120" w:line="240" w:lineRule="auto"/>
    </w:pPr>
    <w:rPr>
      <w:rFonts w:ascii="Times New Roman" w:eastAsia="Times New Roman" w:hAnsi="Times New Roman"/>
      <w:sz w:val="24"/>
      <w:szCs w:val="20"/>
      <w:lang w:val="lv-LV" w:eastAsia="lv-LV"/>
    </w:rPr>
  </w:style>
  <w:style w:type="paragraph" w:customStyle="1" w:styleId="Virsraksti1">
    <w:name w:val="Virsraksti1"/>
    <w:basedOn w:val="Normal"/>
    <w:uiPriority w:val="99"/>
    <w:rsid w:val="00EA0549"/>
    <w:pPr>
      <w:numPr>
        <w:numId w:val="5"/>
      </w:numPr>
      <w:spacing w:before="120" w:after="120" w:line="240" w:lineRule="auto"/>
      <w:jc w:val="both"/>
    </w:pPr>
    <w:rPr>
      <w:rFonts w:ascii="Times New Roman" w:eastAsia="Times New Roman" w:hAnsi="Times New Roman" w:cs="Arial Unicode MS"/>
      <w:b/>
      <w:sz w:val="32"/>
      <w:szCs w:val="24"/>
      <w:lang w:val="lv-LV" w:eastAsia="lv-LV" w:bidi="lo-LA"/>
    </w:rPr>
  </w:style>
  <w:style w:type="paragraph" w:customStyle="1" w:styleId="Virsraksti2">
    <w:name w:val="Virsraksti_2"/>
    <w:basedOn w:val="Normal"/>
    <w:uiPriority w:val="99"/>
    <w:rsid w:val="00EA0549"/>
    <w:pPr>
      <w:numPr>
        <w:ilvl w:val="1"/>
        <w:numId w:val="5"/>
      </w:numPr>
      <w:tabs>
        <w:tab w:val="num" w:pos="360"/>
      </w:tabs>
      <w:spacing w:before="120" w:after="120" w:line="240" w:lineRule="auto"/>
      <w:ind w:left="0" w:firstLine="720"/>
      <w:jc w:val="both"/>
    </w:pPr>
    <w:rPr>
      <w:rFonts w:ascii="Times New Roman" w:eastAsia="Times New Roman" w:hAnsi="Times New Roman" w:cs="Arial Unicode MS"/>
      <w:b/>
      <w:sz w:val="28"/>
      <w:szCs w:val="24"/>
      <w:lang w:val="lv-LV" w:eastAsia="lv-LV" w:bidi="lo-LA"/>
    </w:rPr>
  </w:style>
  <w:style w:type="paragraph" w:customStyle="1" w:styleId="Virsraksti3">
    <w:name w:val="Virsraksti_3"/>
    <w:basedOn w:val="Normal"/>
    <w:uiPriority w:val="99"/>
    <w:rsid w:val="00EA0549"/>
    <w:pPr>
      <w:numPr>
        <w:ilvl w:val="2"/>
        <w:numId w:val="5"/>
      </w:numPr>
      <w:spacing w:before="120" w:after="120" w:line="240" w:lineRule="auto"/>
      <w:jc w:val="both"/>
    </w:pPr>
    <w:rPr>
      <w:rFonts w:ascii="Times New Roman Bold" w:eastAsia="Times New Roman" w:hAnsi="Times New Roman Bold" w:cs="Arial Unicode MS"/>
      <w:b/>
      <w:sz w:val="24"/>
      <w:szCs w:val="24"/>
      <w:lang w:val="lv-LV" w:eastAsia="lv-LV" w:bidi="lo-LA"/>
    </w:rPr>
  </w:style>
  <w:style w:type="character" w:styleId="CommentReference">
    <w:name w:val="annotation reference"/>
    <w:basedOn w:val="DefaultParagraphFont"/>
    <w:uiPriority w:val="99"/>
    <w:semiHidden/>
    <w:rsid w:val="008961B3"/>
    <w:rPr>
      <w:rFonts w:cs="Times New Roman"/>
      <w:sz w:val="16"/>
      <w:szCs w:val="16"/>
    </w:rPr>
  </w:style>
  <w:style w:type="paragraph" w:styleId="CommentText">
    <w:name w:val="annotation text"/>
    <w:basedOn w:val="Normal"/>
    <w:link w:val="CommentTextChar"/>
    <w:uiPriority w:val="99"/>
    <w:semiHidden/>
    <w:rsid w:val="008961B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8961B3"/>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8961B3"/>
    <w:rPr>
      <w:b/>
      <w:bCs/>
    </w:rPr>
  </w:style>
  <w:style w:type="character" w:customStyle="1" w:styleId="CommentSubjectChar">
    <w:name w:val="Comment Subject Char"/>
    <w:basedOn w:val="CommentTextChar"/>
    <w:link w:val="CommentSubject"/>
    <w:uiPriority w:val="99"/>
    <w:semiHidden/>
    <w:locked/>
    <w:rsid w:val="008961B3"/>
    <w:rPr>
      <w:b/>
      <w:bCs/>
    </w:rPr>
  </w:style>
  <w:style w:type="paragraph" w:styleId="BalloonText">
    <w:name w:val="Balloon Text"/>
    <w:basedOn w:val="Normal"/>
    <w:link w:val="BalloonTextChar"/>
    <w:uiPriority w:val="99"/>
    <w:semiHidden/>
    <w:rsid w:val="00896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61B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068326-928A-412E-9F8B-B1AC76F05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2628</Words>
  <Characters>14984</Characters>
  <Application>Microsoft Office Word</Application>
  <DocSecurity>0</DocSecurity>
  <Lines>124</Lines>
  <Paragraphs>35</Paragraphs>
  <ScaleCrop>false</ScaleCrop>
  <HeadingPairs>
    <vt:vector size="2" baseType="variant">
      <vt:variant>
        <vt:lpstr>Nosaukums</vt:lpstr>
      </vt:variant>
      <vt:variant>
        <vt:i4>1</vt:i4>
      </vt:variant>
    </vt:vector>
  </HeadingPairs>
  <TitlesOfParts>
    <vt:vector size="1" baseType="lpstr">
      <vt:lpstr>2.pielikums Ministru kabineta koncepcijas projektam par veselības aprūpes sistēmas finansēšanas modeli "Koncepcijas projekta par veselības aprūpes sistēmas finansēšanas modeli ietekme uz valsts un pašvaldību budžetiem 1.modelim"</vt:lpstr>
    </vt:vector>
  </TitlesOfParts>
  <Company>Veselības ministrija</Company>
  <LinksUpToDate>false</LinksUpToDate>
  <CharactersWithSpaces>17577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4.pielikums Ministru kabineta koncepcijas projektam par veselības aprūpes sistēmas finansēšanas modeli "Koncepcijas projekta par veselības aprūpes sistēmas finansēšanas modeli ietekme uz valsts un pašvaldību budžetiem 1.modelim"</dc:title>
  <dc:subject>Pielikums</dc:subject>
  <dc:creator>Inese Andersone</dc:creator>
  <cp:keywords/>
  <dc:description>Budžeta un investīciju departamentaFinanšu analīzes un investīciju koordinācijas nodaļas vadītāja Inese Andersone tālr. 67876187 inese.andersone@vm.gov.lv</dc:description>
  <cp:lastModifiedBy>Evita Bune</cp:lastModifiedBy>
  <cp:revision>2</cp:revision>
  <cp:lastPrinted>2012-11-16T14:04:00Z</cp:lastPrinted>
  <dcterms:created xsi:type="dcterms:W3CDTF">2013-03-15T07:59:00Z</dcterms:created>
  <dcterms:modified xsi:type="dcterms:W3CDTF">2013-03-15T07:59:00Z</dcterms:modified>
</cp:coreProperties>
</file>