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E0" w:rsidRDefault="00BC5EE0"/>
    <w:p w:rsidR="00021342" w:rsidRDefault="00021342"/>
    <w:p w:rsidR="00021342" w:rsidRDefault="00021342"/>
    <w:p w:rsidR="00021342" w:rsidRDefault="00021342"/>
    <w:p w:rsidR="00021342" w:rsidRDefault="00021342"/>
    <w:p w:rsidR="00021342" w:rsidRDefault="00021342"/>
    <w:p w:rsidR="00021342" w:rsidRPr="00021342" w:rsidRDefault="00021342" w:rsidP="00021342">
      <w:pPr>
        <w:jc w:val="center"/>
        <w:rPr>
          <w:rFonts w:ascii="Times New Roman" w:hAnsi="Times New Roman" w:cs="Times New Roman"/>
          <w:b/>
          <w:sz w:val="52"/>
          <w:szCs w:val="52"/>
        </w:rPr>
      </w:pPr>
      <w:r w:rsidRPr="00021342">
        <w:rPr>
          <w:rFonts w:ascii="Times New Roman" w:hAnsi="Times New Roman" w:cs="Times New Roman"/>
          <w:b/>
          <w:sz w:val="52"/>
          <w:szCs w:val="52"/>
        </w:rPr>
        <w:t>Koncepcijas projekts par veselības aprūpes sistēmas finansēšanas modeli</w:t>
      </w:r>
    </w:p>
    <w:p w:rsidR="00021342" w:rsidRDefault="00021342" w:rsidP="00021342">
      <w:pPr>
        <w:jc w:val="center"/>
        <w:rPr>
          <w:rFonts w:ascii="Times New Roman" w:hAnsi="Times New Roman" w:cs="Times New Roman"/>
          <w:b/>
          <w:sz w:val="52"/>
          <w:szCs w:val="52"/>
        </w:rPr>
      </w:pPr>
      <w:r>
        <w:rPr>
          <w:rFonts w:ascii="Times New Roman" w:hAnsi="Times New Roman" w:cs="Times New Roman"/>
          <w:b/>
          <w:sz w:val="52"/>
          <w:szCs w:val="52"/>
        </w:rPr>
        <w:t>KOPSAVILKUMS</w:t>
      </w:r>
    </w:p>
    <w:p w:rsidR="009927B0" w:rsidRDefault="009927B0">
      <w:pPr>
        <w:rPr>
          <w:rFonts w:ascii="Times New Roman" w:hAnsi="Times New Roman" w:cs="Times New Roman"/>
          <w:b/>
          <w:sz w:val="28"/>
          <w:szCs w:val="28"/>
        </w:rPr>
      </w:pPr>
      <w:r>
        <w:rPr>
          <w:rFonts w:ascii="Times New Roman" w:hAnsi="Times New Roman" w:cs="Times New Roman"/>
          <w:b/>
          <w:sz w:val="28"/>
          <w:szCs w:val="28"/>
        </w:rPr>
        <w:br w:type="page"/>
      </w:r>
    </w:p>
    <w:p w:rsidR="00124FF5" w:rsidRDefault="00124FF5" w:rsidP="00BC5EE0">
      <w:pPr>
        <w:pStyle w:val="Virsraksti1"/>
        <w:numPr>
          <w:ilvl w:val="0"/>
          <w:numId w:val="0"/>
        </w:numPr>
        <w:spacing w:before="0" w:after="0"/>
        <w:ind w:firstLine="720"/>
        <w:rPr>
          <w:rFonts w:cs="Times New Roman"/>
          <w:b w:val="0"/>
          <w:sz w:val="28"/>
          <w:szCs w:val="28"/>
        </w:rPr>
      </w:pPr>
    </w:p>
    <w:p w:rsidR="006B4901" w:rsidRDefault="009927B0" w:rsidP="00BC5EE0">
      <w:pPr>
        <w:pStyle w:val="Virsraksti1"/>
        <w:numPr>
          <w:ilvl w:val="0"/>
          <w:numId w:val="0"/>
        </w:numPr>
        <w:spacing w:before="0" w:after="0"/>
        <w:ind w:firstLine="720"/>
        <w:rPr>
          <w:rFonts w:cs="Times New Roman"/>
          <w:b w:val="0"/>
          <w:sz w:val="28"/>
          <w:szCs w:val="28"/>
        </w:rPr>
      </w:pPr>
      <w:r>
        <w:rPr>
          <w:rFonts w:cs="Times New Roman"/>
          <w:b w:val="0"/>
          <w:sz w:val="28"/>
          <w:szCs w:val="28"/>
        </w:rPr>
        <w:t>Koncepcijas projekts par veselības aprūpes sistēmas finansēšanas modeli sagatavots:</w:t>
      </w:r>
    </w:p>
    <w:p w:rsidR="00A842B1" w:rsidRPr="00C34B50" w:rsidRDefault="00A842B1" w:rsidP="00124FF5">
      <w:pPr>
        <w:pStyle w:val="Virsraksti1"/>
        <w:numPr>
          <w:ilvl w:val="0"/>
          <w:numId w:val="3"/>
        </w:numPr>
        <w:spacing w:after="0"/>
        <w:ind w:left="1077" w:hanging="357"/>
        <w:rPr>
          <w:rFonts w:cs="Times New Roman"/>
          <w:b w:val="0"/>
          <w:sz w:val="28"/>
          <w:szCs w:val="28"/>
        </w:rPr>
      </w:pPr>
      <w:r w:rsidRPr="00C34B50">
        <w:rPr>
          <w:rFonts w:cs="Times New Roman"/>
          <w:b w:val="0"/>
          <w:sz w:val="28"/>
          <w:szCs w:val="28"/>
        </w:rPr>
        <w:t xml:space="preserve">lai izpildītu Ministru prezidenta 2010.gada 17.maija rezolūciju Nr.18/TA-744, koncepcijā ietverot </w:t>
      </w:r>
      <w:r>
        <w:rPr>
          <w:rFonts w:cs="Times New Roman"/>
          <w:b w:val="0"/>
          <w:sz w:val="28"/>
          <w:szCs w:val="28"/>
        </w:rPr>
        <w:t>VM</w:t>
      </w:r>
      <w:r w:rsidRPr="00C34B50">
        <w:rPr>
          <w:rFonts w:cs="Times New Roman"/>
          <w:b w:val="0"/>
          <w:sz w:val="28"/>
          <w:szCs w:val="28"/>
        </w:rPr>
        <w:t xml:space="preserve"> </w:t>
      </w:r>
      <w:r w:rsidRPr="00C34B50">
        <w:rPr>
          <w:b w:val="0"/>
          <w:sz w:val="28"/>
          <w:szCs w:val="28"/>
        </w:rPr>
        <w:t>informatīvajā ziņojumā par obligātās veselības apdrošināšanas ieviešanas lietderību iekļautos secinājumus un  risinājumus</w:t>
      </w:r>
      <w:r w:rsidRPr="00C34B50">
        <w:rPr>
          <w:rFonts w:cs="Times New Roman"/>
          <w:b w:val="0"/>
          <w:sz w:val="28"/>
          <w:szCs w:val="28"/>
        </w:rPr>
        <w:t>;</w:t>
      </w:r>
    </w:p>
    <w:p w:rsidR="00A842B1" w:rsidRPr="00C34B50" w:rsidRDefault="00767C01" w:rsidP="00124FF5">
      <w:pPr>
        <w:pStyle w:val="Virsraksti1"/>
        <w:numPr>
          <w:ilvl w:val="0"/>
          <w:numId w:val="3"/>
        </w:numPr>
        <w:spacing w:after="0"/>
        <w:ind w:left="1077" w:hanging="357"/>
        <w:rPr>
          <w:rFonts w:cs="Times New Roman"/>
          <w:b w:val="0"/>
          <w:sz w:val="28"/>
          <w:szCs w:val="28"/>
        </w:rPr>
      </w:pPr>
      <w:r w:rsidRPr="00C34B50">
        <w:rPr>
          <w:rFonts w:cs="Times New Roman"/>
          <w:b w:val="0"/>
          <w:sz w:val="28"/>
          <w:szCs w:val="28"/>
        </w:rPr>
        <w:t xml:space="preserve">saskaņā ar Ministru kabineta 2012.gada 16.februāra rīkojuma Nr.84 „Par VRP Deklarācijas par Valda </w:t>
      </w:r>
      <w:proofErr w:type="spellStart"/>
      <w:r w:rsidRPr="00C34B50">
        <w:rPr>
          <w:rFonts w:cs="Times New Roman"/>
          <w:b w:val="0"/>
          <w:sz w:val="28"/>
          <w:szCs w:val="28"/>
        </w:rPr>
        <w:t>Dombrovska</w:t>
      </w:r>
      <w:proofErr w:type="spellEnd"/>
      <w:r w:rsidRPr="00C34B50">
        <w:rPr>
          <w:rFonts w:cs="Times New Roman"/>
          <w:b w:val="0"/>
          <w:sz w:val="28"/>
          <w:szCs w:val="28"/>
        </w:rPr>
        <w:t xml:space="preserve"> vadītā Ministru kabineta iecerēto darbību īstenošanai” rīcības plān</w:t>
      </w:r>
      <w:r>
        <w:rPr>
          <w:rFonts w:cs="Times New Roman"/>
          <w:b w:val="0"/>
          <w:sz w:val="28"/>
          <w:szCs w:val="28"/>
        </w:rPr>
        <w:t xml:space="preserve">a 18.1. un 18.2. punktiem, kuri paredz </w:t>
      </w:r>
      <w:r w:rsidRPr="00BD63CA">
        <w:rPr>
          <w:rFonts w:cs="Times New Roman"/>
          <w:b w:val="0"/>
          <w:sz w:val="28"/>
          <w:szCs w:val="28"/>
        </w:rPr>
        <w:t>izstrādāt un iesniegt apstiprināšanai Ministru kabinetā koncepciju par veselības apdrošināšanas sistēmas izveidi un izstrādāt nepieciešamos normatīvos aktus par</w:t>
      </w:r>
      <w:r>
        <w:rPr>
          <w:rFonts w:cs="Times New Roman"/>
          <w:b w:val="0"/>
          <w:sz w:val="28"/>
          <w:szCs w:val="28"/>
        </w:rPr>
        <w:t xml:space="preserve"> veselības aprūpes finansēšanu un</w:t>
      </w:r>
      <w:r w:rsidRPr="00BD63CA">
        <w:rPr>
          <w:rFonts w:cs="Times New Roman"/>
          <w:b w:val="0"/>
          <w:sz w:val="28"/>
          <w:szCs w:val="28"/>
        </w:rPr>
        <w:t xml:space="preserve"> nodrošināt, ka veselības aprūpei atvēlētais finansējuma apjoms (procentos no IKP) tiek tuvināts Eiropas Savienības valstu vidējiem rādītājiem. Mērķa īstenošanai veselības aprūpes valsts budžets gadā tiek palielināts vismaz par 0,25% no IKP, 2020.gadā sasniedzot rādītāju, ka veselības aprūpes valsts budžets ir 4,5% no IKP;</w:t>
      </w:r>
    </w:p>
    <w:p w:rsidR="00A842B1" w:rsidRPr="00C34B50" w:rsidRDefault="00A842B1" w:rsidP="00124FF5">
      <w:pPr>
        <w:pStyle w:val="Virsraksti1"/>
        <w:numPr>
          <w:ilvl w:val="0"/>
          <w:numId w:val="3"/>
        </w:numPr>
        <w:spacing w:after="0"/>
        <w:ind w:left="1077" w:hanging="357"/>
        <w:rPr>
          <w:rFonts w:cs="Times New Roman"/>
          <w:b w:val="0"/>
          <w:sz w:val="28"/>
          <w:szCs w:val="28"/>
        </w:rPr>
      </w:pPr>
      <w:r w:rsidRPr="00C34B50">
        <w:rPr>
          <w:rFonts w:cs="Times New Roman"/>
          <w:b w:val="0"/>
          <w:sz w:val="28"/>
          <w:szCs w:val="28"/>
        </w:rPr>
        <w:t xml:space="preserve">lai izpildītu Ministru prezidenta 2009.gada 21.oktobra rezolūciju Nr.111-1/170, iekļaujot </w:t>
      </w:r>
      <w:r w:rsidRPr="00C34B50">
        <w:rPr>
          <w:b w:val="0"/>
          <w:sz w:val="28"/>
          <w:szCs w:val="28"/>
        </w:rPr>
        <w:t>jautājumu par sistēmā strādājošā ārstniecības personāla atalgojumu</w:t>
      </w:r>
      <w:r w:rsidRPr="00C34B50">
        <w:rPr>
          <w:rFonts w:cs="Times New Roman"/>
          <w:b w:val="0"/>
          <w:sz w:val="28"/>
          <w:szCs w:val="28"/>
        </w:rPr>
        <w:t>.</w:t>
      </w:r>
    </w:p>
    <w:p w:rsidR="00A842B1" w:rsidRPr="00BC5EE0" w:rsidRDefault="00A842B1" w:rsidP="00A842B1">
      <w:pPr>
        <w:pStyle w:val="Virsraksti1"/>
        <w:numPr>
          <w:ilvl w:val="0"/>
          <w:numId w:val="0"/>
        </w:numPr>
        <w:spacing w:before="0" w:after="0"/>
        <w:ind w:left="1080"/>
        <w:rPr>
          <w:rFonts w:cs="Times New Roman"/>
          <w:b w:val="0"/>
          <w:sz w:val="28"/>
          <w:szCs w:val="28"/>
        </w:rPr>
      </w:pPr>
    </w:p>
    <w:p w:rsidR="00FD5C9E" w:rsidRDefault="00FD5C9E" w:rsidP="00BC5EE0">
      <w:pPr>
        <w:pStyle w:val="Virsraksti1"/>
        <w:numPr>
          <w:ilvl w:val="0"/>
          <w:numId w:val="0"/>
        </w:numPr>
        <w:spacing w:after="0"/>
        <w:ind w:firstLine="720"/>
        <w:rPr>
          <w:rFonts w:cs="Times New Roman"/>
          <w:b w:val="0"/>
          <w:sz w:val="28"/>
          <w:szCs w:val="28"/>
        </w:rPr>
      </w:pPr>
      <w:r w:rsidRPr="004B067A">
        <w:rPr>
          <w:rFonts w:cs="Times New Roman"/>
          <w:b w:val="0"/>
          <w:sz w:val="28"/>
          <w:szCs w:val="28"/>
        </w:rPr>
        <w:t>Laika posmā no 2005.-2008.gadam veselības aprūpei piešķirtais finansējums pakāpeniski pieauga</w:t>
      </w:r>
      <w:r w:rsidR="005E07A2">
        <w:rPr>
          <w:rFonts w:cs="Times New Roman"/>
          <w:b w:val="0"/>
          <w:sz w:val="28"/>
          <w:szCs w:val="28"/>
        </w:rPr>
        <w:t xml:space="preserve"> un līdz ar to arī pieauga veselības aprūpes izdevumi uz vienu iedzīvotāju</w:t>
      </w:r>
      <w:r w:rsidR="00805B22">
        <w:rPr>
          <w:rFonts w:cs="Times New Roman"/>
          <w:b w:val="0"/>
          <w:sz w:val="28"/>
          <w:szCs w:val="28"/>
        </w:rPr>
        <w:t xml:space="preserve"> no </w:t>
      </w:r>
      <w:r w:rsidR="00A842B1">
        <w:rPr>
          <w:rFonts w:cs="Times New Roman"/>
          <w:b w:val="0"/>
          <w:sz w:val="28"/>
          <w:szCs w:val="28"/>
        </w:rPr>
        <w:t>131,94</w:t>
      </w:r>
      <w:r w:rsidR="00805B22">
        <w:rPr>
          <w:rFonts w:cs="Times New Roman"/>
          <w:b w:val="0"/>
          <w:sz w:val="28"/>
          <w:szCs w:val="28"/>
        </w:rPr>
        <w:t xml:space="preserve"> LVL 2005.gadā līdz </w:t>
      </w:r>
      <w:r w:rsidR="00A842B1">
        <w:rPr>
          <w:rFonts w:cs="Times New Roman"/>
          <w:b w:val="0"/>
          <w:sz w:val="28"/>
          <w:szCs w:val="28"/>
        </w:rPr>
        <w:t>263,07</w:t>
      </w:r>
      <w:r w:rsidR="006F4660">
        <w:rPr>
          <w:rFonts w:cs="Times New Roman"/>
          <w:b w:val="0"/>
          <w:sz w:val="28"/>
          <w:szCs w:val="28"/>
        </w:rPr>
        <w:t> LVL 2008.gadā</w:t>
      </w:r>
      <w:r w:rsidRPr="004B067A">
        <w:rPr>
          <w:rFonts w:cs="Times New Roman"/>
          <w:b w:val="0"/>
          <w:sz w:val="28"/>
          <w:szCs w:val="28"/>
        </w:rPr>
        <w:t>, taču ekonomiskās krīzes rezultātā kopš 2009.gada veselības aprūpes budžets katru gadu tiek samazināts</w:t>
      </w:r>
      <w:r w:rsidR="005E07A2">
        <w:rPr>
          <w:rFonts w:cs="Times New Roman"/>
          <w:b w:val="0"/>
          <w:sz w:val="28"/>
          <w:szCs w:val="28"/>
        </w:rPr>
        <w:t xml:space="preserve"> un līdz ar to samazinās arī veselības aprūpes izdevumi uz vienu iedzīvotāju</w:t>
      </w:r>
      <w:r w:rsidR="00CD5420">
        <w:rPr>
          <w:rFonts w:cs="Times New Roman"/>
          <w:b w:val="0"/>
          <w:sz w:val="28"/>
          <w:szCs w:val="28"/>
        </w:rPr>
        <w:t>, 201</w:t>
      </w:r>
      <w:r w:rsidR="00A842B1">
        <w:rPr>
          <w:rFonts w:cs="Times New Roman"/>
          <w:b w:val="0"/>
          <w:sz w:val="28"/>
          <w:szCs w:val="28"/>
        </w:rPr>
        <w:t>3</w:t>
      </w:r>
      <w:r w:rsidR="00CD5420">
        <w:rPr>
          <w:rFonts w:cs="Times New Roman"/>
          <w:b w:val="0"/>
          <w:sz w:val="28"/>
          <w:szCs w:val="28"/>
        </w:rPr>
        <w:t xml:space="preserve">.gadā sasniedzot </w:t>
      </w:r>
      <w:r w:rsidR="00A842B1">
        <w:rPr>
          <w:rFonts w:cs="Times New Roman"/>
          <w:b w:val="0"/>
          <w:sz w:val="28"/>
          <w:szCs w:val="28"/>
        </w:rPr>
        <w:t>232,85</w:t>
      </w:r>
      <w:r w:rsidR="00CD5420">
        <w:rPr>
          <w:rFonts w:cs="Times New Roman"/>
          <w:b w:val="0"/>
          <w:sz w:val="28"/>
          <w:szCs w:val="28"/>
        </w:rPr>
        <w:t> LVL jeb aptuveni 2007.gada līmeni (neņemot vērā cenu indeksa izmaiņas)</w:t>
      </w:r>
      <w:r w:rsidR="005E07A2">
        <w:rPr>
          <w:rFonts w:cs="Times New Roman"/>
          <w:b w:val="0"/>
          <w:sz w:val="28"/>
          <w:szCs w:val="28"/>
        </w:rPr>
        <w:t>.</w:t>
      </w:r>
      <w:r>
        <w:rPr>
          <w:rFonts w:cs="Times New Roman"/>
          <w:b w:val="0"/>
          <w:sz w:val="28"/>
          <w:szCs w:val="28"/>
        </w:rPr>
        <w:t xml:space="preserve"> </w:t>
      </w:r>
      <w:r w:rsidR="005E07A2">
        <w:rPr>
          <w:rFonts w:cs="Times New Roman"/>
          <w:b w:val="0"/>
          <w:sz w:val="28"/>
          <w:szCs w:val="28"/>
        </w:rPr>
        <w:t>P</w:t>
      </w:r>
      <w:r>
        <w:rPr>
          <w:rFonts w:cs="Times New Roman"/>
          <w:b w:val="0"/>
          <w:sz w:val="28"/>
          <w:szCs w:val="28"/>
        </w:rPr>
        <w:t xml:space="preserve">amatā </w:t>
      </w:r>
      <w:r w:rsidR="005E07A2">
        <w:rPr>
          <w:rFonts w:cs="Times New Roman"/>
          <w:b w:val="0"/>
          <w:sz w:val="28"/>
          <w:szCs w:val="28"/>
        </w:rPr>
        <w:t>finansējums tika samazināts</w:t>
      </w:r>
      <w:r>
        <w:rPr>
          <w:rFonts w:cs="Times New Roman"/>
          <w:b w:val="0"/>
          <w:sz w:val="28"/>
          <w:szCs w:val="28"/>
        </w:rPr>
        <w:t xml:space="preserve"> slimnīcām, vienlaicīgi tika attīstīta ambulatorā un mājas aprūpe</w:t>
      </w:r>
      <w:r w:rsidRPr="004B067A">
        <w:rPr>
          <w:rFonts w:cs="Times New Roman"/>
          <w:b w:val="0"/>
          <w:sz w:val="28"/>
          <w:szCs w:val="28"/>
        </w:rPr>
        <w:t>, lai ierobežotā finansējuma apstākļos valsts iedzīvotājiem nodrošinātu veselības aprūpes pakalpojumus</w:t>
      </w:r>
      <w:r w:rsidRPr="00AF4D2B">
        <w:rPr>
          <w:rFonts w:cs="Times New Roman"/>
          <w:b w:val="0"/>
          <w:sz w:val="28"/>
          <w:szCs w:val="28"/>
        </w:rPr>
        <w:t>.</w:t>
      </w:r>
      <w:r w:rsidR="005E07A2">
        <w:rPr>
          <w:rFonts w:cs="Times New Roman"/>
          <w:b w:val="0"/>
          <w:sz w:val="28"/>
          <w:szCs w:val="28"/>
        </w:rPr>
        <w:t xml:space="preserve"> </w:t>
      </w:r>
      <w:r>
        <w:rPr>
          <w:rFonts w:cs="Times New Roman"/>
          <w:b w:val="0"/>
          <w:sz w:val="28"/>
          <w:szCs w:val="28"/>
        </w:rPr>
        <w:t>Krīzes apstākļos veselības aprūpē veiktā samazinājuma dēļ ir ievērojami pieaugusi iedzīvotāju neapmierinā</w:t>
      </w:r>
      <w:r w:rsidR="005E07A2">
        <w:rPr>
          <w:rFonts w:cs="Times New Roman"/>
          <w:b w:val="0"/>
          <w:sz w:val="28"/>
          <w:szCs w:val="28"/>
        </w:rPr>
        <w:t xml:space="preserve">tība ar </w:t>
      </w:r>
      <w:r w:rsidR="00380F09">
        <w:rPr>
          <w:rFonts w:cs="Times New Roman"/>
          <w:b w:val="0"/>
          <w:sz w:val="28"/>
          <w:szCs w:val="28"/>
        </w:rPr>
        <w:t xml:space="preserve">veselības aprūpes </w:t>
      </w:r>
      <w:r w:rsidR="005E07A2">
        <w:rPr>
          <w:rFonts w:cs="Times New Roman"/>
          <w:b w:val="0"/>
          <w:sz w:val="28"/>
          <w:szCs w:val="28"/>
        </w:rPr>
        <w:t>pakalpojumu pieejamību.</w:t>
      </w:r>
    </w:p>
    <w:p w:rsidR="00FD5C9E" w:rsidRDefault="00A842B1" w:rsidP="00A842B1">
      <w:pPr>
        <w:pStyle w:val="Virsraksti1"/>
        <w:numPr>
          <w:ilvl w:val="0"/>
          <w:numId w:val="0"/>
        </w:numPr>
        <w:spacing w:before="0" w:after="0" w:line="22" w:lineRule="atLeast"/>
        <w:ind w:firstLine="709"/>
        <w:rPr>
          <w:rFonts w:cs="Times New Roman"/>
          <w:b w:val="0"/>
          <w:sz w:val="28"/>
          <w:szCs w:val="28"/>
        </w:rPr>
      </w:pPr>
      <w:r w:rsidRPr="00C34B50">
        <w:rPr>
          <w:rFonts w:cs="Times New Roman"/>
          <w:b w:val="0"/>
          <w:sz w:val="28"/>
          <w:szCs w:val="28"/>
        </w:rPr>
        <w:t>No 2010.-2012.gadam ir strauji krities publiskā veselības aprūpes finansējuma procentuālais īpatsvars no IKP un 2012.gadā tie ir 3.47%, kas ir otrs zemākais rādītājs pēdējo astoņu gadu laikā.</w:t>
      </w:r>
      <w:r w:rsidR="005E07A2">
        <w:rPr>
          <w:rFonts w:cs="Times New Roman"/>
          <w:b w:val="0"/>
          <w:sz w:val="28"/>
          <w:szCs w:val="28"/>
        </w:rPr>
        <w:t xml:space="preserve"> Turklāt Latvijā ir viens no zemākajiem rādītājiem publisko izdevumu apjomam veselības aprūpei no kopējiem valdības izdevumiem</w:t>
      </w:r>
      <w:r w:rsidR="009E66FE">
        <w:rPr>
          <w:rFonts w:cs="Times New Roman"/>
          <w:b w:val="0"/>
          <w:sz w:val="28"/>
          <w:szCs w:val="28"/>
        </w:rPr>
        <w:t xml:space="preserve"> Eiropas Savienībā, kas 2009.gadā bija 9,2% </w:t>
      </w:r>
      <w:r w:rsidR="009E66FE">
        <w:rPr>
          <w:rFonts w:cs="Times New Roman"/>
          <w:b w:val="0"/>
          <w:sz w:val="28"/>
          <w:szCs w:val="28"/>
        </w:rPr>
        <w:lastRenderedPageBreak/>
        <w:t>(Igaunija – 11,7%, Lietuva – 12,6% un Eiropas Savienības vidējais rādītājs – 15,9%).</w:t>
      </w:r>
    </w:p>
    <w:p w:rsidR="00A842B1" w:rsidRPr="00460F02" w:rsidRDefault="00A842B1" w:rsidP="00A842B1">
      <w:pPr>
        <w:pStyle w:val="Virsraksti1"/>
        <w:numPr>
          <w:ilvl w:val="0"/>
          <w:numId w:val="0"/>
        </w:numPr>
        <w:spacing w:before="0" w:after="0" w:line="22" w:lineRule="atLeast"/>
        <w:ind w:firstLine="709"/>
        <w:rPr>
          <w:b w:val="0"/>
          <w:bCs/>
          <w:sz w:val="28"/>
          <w:szCs w:val="28"/>
        </w:rPr>
      </w:pPr>
      <w:r w:rsidRPr="00460F02">
        <w:rPr>
          <w:b w:val="0"/>
          <w:bCs/>
          <w:sz w:val="28"/>
          <w:szCs w:val="28"/>
        </w:rPr>
        <w:t>Šobrīd valsts apmaksātos veselības aprūpes pakalpojumus var saņemt ikviens Latvijas iedzīvotājs, neatkarīgi no nodokļu maksāšanas vai nemaksāšanas fakta.</w:t>
      </w:r>
    </w:p>
    <w:p w:rsidR="00A842B1" w:rsidRDefault="00A842B1" w:rsidP="00124FF5">
      <w:pPr>
        <w:pStyle w:val="naisf"/>
        <w:spacing w:before="0" w:beforeAutospacing="0" w:after="0" w:afterAutospacing="0"/>
        <w:ind w:firstLine="720"/>
        <w:jc w:val="both"/>
        <w:rPr>
          <w:bCs/>
          <w:color w:val="000000"/>
          <w:sz w:val="28"/>
          <w:szCs w:val="28"/>
        </w:rPr>
      </w:pPr>
      <w:r w:rsidRPr="00C34B50">
        <w:rPr>
          <w:bCs/>
          <w:color w:val="000000"/>
          <w:sz w:val="28"/>
          <w:szCs w:val="28"/>
        </w:rPr>
        <w:t>Pēc VID un Centrālās statistikas pārvaldes datiem (iedzīvotāju skaits pārrēķināts saskaņā ar 2011.gada tautas skaitīšanas rezultātiem) IIN 2011.gadā ir maksājuši 66</w:t>
      </w:r>
      <w:r w:rsidR="00124FF5">
        <w:rPr>
          <w:bCs/>
          <w:color w:val="000000"/>
          <w:sz w:val="28"/>
          <w:szCs w:val="28"/>
        </w:rPr>
        <w:t>,</w:t>
      </w:r>
      <w:r w:rsidRPr="00C34B50">
        <w:rPr>
          <w:bCs/>
          <w:color w:val="000000"/>
          <w:sz w:val="28"/>
          <w:szCs w:val="28"/>
        </w:rPr>
        <w:t>8% no darbaspējas vecumā esošajiem Latvijas iedzīvotājiem.</w:t>
      </w:r>
      <w:r w:rsidR="00124FF5">
        <w:rPr>
          <w:bCs/>
          <w:color w:val="000000"/>
          <w:sz w:val="28"/>
          <w:szCs w:val="28"/>
        </w:rPr>
        <w:t xml:space="preserve"> </w:t>
      </w:r>
      <w:r w:rsidRPr="00C34B50">
        <w:rPr>
          <w:bCs/>
          <w:color w:val="000000"/>
          <w:sz w:val="28"/>
          <w:szCs w:val="28"/>
        </w:rPr>
        <w:t>Līdz ar to var secināt, ka ir daļa iedzīvotāju, kas šobrīd gan attaisnojošu, gan neattaisnojošu iemeslu dēļ nemaksā IIN un kuru  veselības aprūpe tiek finansēti no kopējā valsts budžeta. Šāda situācija var tikt neviennozīmīgi vērtēta no sociālā taisnīguma viedokļa un neveicināt nodokļu maksāšanu, nodokļu maksātājus nostādot neizdevīgākā situācijā, jo viņi ir spiesti apmaksāt arī citu saņemtos pakalpojumus.</w:t>
      </w:r>
    </w:p>
    <w:p w:rsidR="003C4875" w:rsidRPr="000D4A12" w:rsidRDefault="002C6A95" w:rsidP="00124FF5">
      <w:pPr>
        <w:pStyle w:val="naisf"/>
        <w:spacing w:before="120" w:beforeAutospacing="0" w:after="0" w:afterAutospacing="0"/>
        <w:ind w:firstLine="720"/>
        <w:jc w:val="both"/>
        <w:rPr>
          <w:bCs/>
          <w:color w:val="000000"/>
          <w:sz w:val="28"/>
          <w:szCs w:val="28"/>
        </w:rPr>
      </w:pPr>
      <w:r w:rsidRPr="000D4A12">
        <w:rPr>
          <w:bCs/>
          <w:color w:val="000000"/>
          <w:sz w:val="28"/>
          <w:szCs w:val="28"/>
        </w:rPr>
        <w:t>Galvenās pastāvošās prob</w:t>
      </w:r>
      <w:r w:rsidR="007F2B97" w:rsidRPr="000D4A12">
        <w:rPr>
          <w:bCs/>
          <w:color w:val="000000"/>
          <w:sz w:val="28"/>
          <w:szCs w:val="28"/>
        </w:rPr>
        <w:t>lēmas veselības aprūpes sistēmā ir:</w:t>
      </w:r>
    </w:p>
    <w:p w:rsidR="007F2B97" w:rsidRDefault="007F2B97" w:rsidP="00124FF5">
      <w:pPr>
        <w:pStyle w:val="BodyText"/>
        <w:numPr>
          <w:ilvl w:val="0"/>
          <w:numId w:val="6"/>
        </w:numPr>
        <w:spacing w:after="0"/>
        <w:ind w:left="714" w:hanging="35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Šobrīd veselības aprūpes budžets nav sasaistīts ar nodokļu ieņēmumiem un ieņēmumi nav personificēti. Līdz ar to pastāv situācija, ka Latvijas iedzīvotāji saņem veselības aprūpes pakalpojumus </w:t>
      </w:r>
      <w:r w:rsidR="00712B55" w:rsidRPr="00C34B50">
        <w:rPr>
          <w:rFonts w:ascii="Times New Roman" w:eastAsia="Calibri" w:hAnsi="Times New Roman"/>
          <w:bCs/>
          <w:sz w:val="28"/>
          <w:szCs w:val="28"/>
          <w:lang w:eastAsia="en-US"/>
        </w:rPr>
        <w:t xml:space="preserve">bez </w:t>
      </w:r>
      <w:r w:rsidR="00712B55">
        <w:rPr>
          <w:rFonts w:ascii="Times New Roman" w:eastAsia="Calibri" w:hAnsi="Times New Roman"/>
          <w:bCs/>
          <w:sz w:val="28"/>
          <w:szCs w:val="28"/>
          <w:lang w:eastAsia="en-US"/>
        </w:rPr>
        <w:t>tiešu, uz veselības aprūpi vērstu</w:t>
      </w:r>
      <w:r w:rsidR="00712B55" w:rsidRPr="00C34B50">
        <w:rPr>
          <w:rFonts w:ascii="Times New Roman" w:eastAsia="Calibri" w:hAnsi="Times New Roman"/>
          <w:bCs/>
          <w:sz w:val="28"/>
          <w:szCs w:val="28"/>
          <w:lang w:eastAsia="en-US"/>
        </w:rPr>
        <w:t xml:space="preserve"> nodokļu maksāšanas Latvijā,</w:t>
      </w:r>
      <w:r w:rsidR="00712B55">
        <w:rPr>
          <w:rFonts w:ascii="Times New Roman" w:eastAsia="Calibri" w:hAnsi="Times New Roman"/>
          <w:bCs/>
          <w:sz w:val="28"/>
          <w:szCs w:val="28"/>
          <w:lang w:eastAsia="en-US"/>
        </w:rPr>
        <w:t xml:space="preserve"> </w:t>
      </w:r>
      <w:r w:rsidR="00712B55" w:rsidRPr="00C34B50">
        <w:rPr>
          <w:rFonts w:ascii="Times New Roman" w:eastAsia="Calibri" w:hAnsi="Times New Roman"/>
          <w:bCs/>
          <w:sz w:val="28"/>
          <w:szCs w:val="28"/>
          <w:lang w:eastAsia="en-US"/>
        </w:rPr>
        <w:t xml:space="preserve"> kā arī no gada uz gadu pastāv veselības aprūpes budžeta </w:t>
      </w:r>
      <w:proofErr w:type="spellStart"/>
      <w:r w:rsidR="00712B55" w:rsidRPr="00C34B50">
        <w:rPr>
          <w:rFonts w:ascii="Times New Roman" w:eastAsia="Calibri" w:hAnsi="Times New Roman"/>
          <w:bCs/>
          <w:sz w:val="28"/>
          <w:szCs w:val="28"/>
          <w:lang w:eastAsia="en-US"/>
        </w:rPr>
        <w:t>neprognozējamība</w:t>
      </w:r>
      <w:proofErr w:type="spellEnd"/>
      <w:r>
        <w:rPr>
          <w:rFonts w:ascii="Times New Roman" w:eastAsia="Calibri" w:hAnsi="Times New Roman"/>
          <w:bCs/>
          <w:sz w:val="28"/>
          <w:szCs w:val="28"/>
          <w:lang w:eastAsia="en-US"/>
        </w:rPr>
        <w:t>.</w:t>
      </w:r>
    </w:p>
    <w:p w:rsidR="007F2B97" w:rsidRDefault="007F2B97" w:rsidP="00124FF5">
      <w:pPr>
        <w:pStyle w:val="BodyText"/>
        <w:numPr>
          <w:ilvl w:val="0"/>
          <w:numId w:val="6"/>
        </w:numPr>
        <w:spacing w:after="0"/>
        <w:ind w:left="714" w:hanging="35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Finansējums, līdz ar krīzes gados veikto samazinājumu, ir nepietiekams esošā veselības aprūpes pakalpojumu apjoma nodrošināšanai, turklāt finansējums tiek piešķirts, nesasaistot to ar faktiski nepieciešamo pakalpojumu apjomu.</w:t>
      </w:r>
    </w:p>
    <w:p w:rsidR="00C93AAE" w:rsidRDefault="007F2B97" w:rsidP="00124FF5">
      <w:pPr>
        <w:pStyle w:val="BodyText"/>
        <w:numPr>
          <w:ilvl w:val="0"/>
          <w:numId w:val="6"/>
        </w:numPr>
        <w:spacing w:after="0"/>
        <w:ind w:left="714" w:hanging="357"/>
        <w:jc w:val="both"/>
        <w:rPr>
          <w:rFonts w:ascii="Times New Roman" w:eastAsia="Calibri" w:hAnsi="Times New Roman"/>
          <w:bCs/>
          <w:sz w:val="28"/>
          <w:szCs w:val="28"/>
          <w:lang w:eastAsia="en-US"/>
        </w:rPr>
      </w:pPr>
      <w:r w:rsidRPr="007F2B97">
        <w:rPr>
          <w:rFonts w:ascii="Times New Roman" w:eastAsia="Calibri" w:hAnsi="Times New Roman"/>
          <w:bCs/>
          <w:sz w:val="28"/>
          <w:szCs w:val="28"/>
          <w:lang w:eastAsia="en-US"/>
        </w:rPr>
        <w:t>Šāda samazinātā finansējuma apstākļos nav iespējams nodrošināt sniegto veselības aprūpes pakalpojumu ilgtspējību un stabilitāti, jo mainoties ekonomiskajai situācijai ir ievērojami samazināts finansējums, kas ir pretēji citās ES valstīs veiktajiem pasākumiem veselības nozares finansējumā, kur tas ir saglabāts aptuveni iepriekšējo gadu līmenī.</w:t>
      </w:r>
    </w:p>
    <w:p w:rsidR="00460F02" w:rsidRPr="000D4A12" w:rsidRDefault="00460F02" w:rsidP="00124FF5">
      <w:pPr>
        <w:pStyle w:val="naisf"/>
        <w:spacing w:before="120" w:beforeAutospacing="0" w:after="0" w:afterAutospacing="0"/>
        <w:ind w:firstLine="720"/>
        <w:jc w:val="both"/>
        <w:rPr>
          <w:bCs/>
          <w:color w:val="000000"/>
          <w:sz w:val="28"/>
          <w:szCs w:val="28"/>
        </w:rPr>
      </w:pPr>
      <w:r w:rsidRPr="000D4A12">
        <w:rPr>
          <w:bCs/>
          <w:color w:val="000000"/>
          <w:sz w:val="28"/>
          <w:szCs w:val="28"/>
        </w:rPr>
        <w:t xml:space="preserve">Izvēloties veikt izmaiņas veselības aprūpes finansēšanas modelī, kā galvenie un svarīgākie mērķi ir: </w:t>
      </w:r>
    </w:p>
    <w:p w:rsidR="00460F02" w:rsidRPr="00C34B50" w:rsidRDefault="00460F02" w:rsidP="00124FF5">
      <w:pPr>
        <w:pStyle w:val="Virsraksti1"/>
        <w:numPr>
          <w:ilvl w:val="0"/>
          <w:numId w:val="5"/>
        </w:numPr>
        <w:spacing w:after="0"/>
        <w:ind w:left="714" w:hanging="357"/>
        <w:rPr>
          <w:rFonts w:cs="Times New Roman"/>
          <w:b w:val="0"/>
          <w:sz w:val="28"/>
          <w:szCs w:val="28"/>
        </w:rPr>
      </w:pPr>
      <w:r w:rsidRPr="00C34B50">
        <w:rPr>
          <w:rFonts w:cs="Times New Roman"/>
          <w:b w:val="0"/>
          <w:sz w:val="28"/>
          <w:szCs w:val="28"/>
        </w:rPr>
        <w:t>Finanšu līdzekļu un pakalpojumu apjoma palielināšana un pieejamības uzlabošana, pakāpeniski sasniedzot veselības aprūpes valsts budžetu 4,5% apmērā no IKP (pēc VRP 2014.gadā), vēlākais līdz 2020.gadam.</w:t>
      </w:r>
    </w:p>
    <w:p w:rsidR="00460F02" w:rsidRPr="00C34B50" w:rsidRDefault="00460F02" w:rsidP="00124FF5">
      <w:pPr>
        <w:pStyle w:val="Virsraksti1"/>
        <w:numPr>
          <w:ilvl w:val="0"/>
          <w:numId w:val="5"/>
        </w:numPr>
        <w:spacing w:after="0"/>
        <w:ind w:left="714" w:hanging="357"/>
        <w:rPr>
          <w:rFonts w:cs="Times New Roman"/>
          <w:b w:val="0"/>
          <w:sz w:val="28"/>
          <w:szCs w:val="28"/>
        </w:rPr>
      </w:pPr>
      <w:r w:rsidRPr="00C34B50">
        <w:rPr>
          <w:b w:val="0"/>
          <w:sz w:val="28"/>
          <w:szCs w:val="28"/>
        </w:rPr>
        <w:t xml:space="preserve">Tiesību saņemt veselības aprūpes pakalpojumus sasaistīšana ar paziņošanas par nodokļu aprēķināšanu vai ar </w:t>
      </w:r>
      <w:r w:rsidRPr="00C34B50">
        <w:rPr>
          <w:b w:val="0"/>
          <w:bCs/>
          <w:sz w:val="28"/>
          <w:szCs w:val="28"/>
        </w:rPr>
        <w:t>valsts</w:t>
      </w:r>
      <w:r w:rsidRPr="00C34B50">
        <w:rPr>
          <w:b w:val="0"/>
          <w:bCs/>
          <w:kern w:val="36"/>
          <w:sz w:val="28"/>
          <w:szCs w:val="28"/>
        </w:rPr>
        <w:t xml:space="preserve"> veselības apdrošināšanas obligāto iemaksu</w:t>
      </w:r>
      <w:r w:rsidRPr="00C34B50">
        <w:rPr>
          <w:b w:val="0"/>
          <w:sz w:val="28"/>
          <w:szCs w:val="28"/>
        </w:rPr>
        <w:t xml:space="preserve">  nomaksas faktu</w:t>
      </w:r>
      <w:r w:rsidR="00AB1E83">
        <w:rPr>
          <w:b w:val="0"/>
          <w:sz w:val="28"/>
          <w:szCs w:val="28"/>
        </w:rPr>
        <w:t xml:space="preserve"> </w:t>
      </w:r>
      <w:r w:rsidR="00AB1E83">
        <w:rPr>
          <w:rFonts w:cs="Times New Roman"/>
          <w:b w:val="0"/>
          <w:sz w:val="28"/>
          <w:szCs w:val="28"/>
        </w:rPr>
        <w:t>vai paziņošanu par aprēķināšanu</w:t>
      </w:r>
      <w:r w:rsidRPr="00C34B50">
        <w:rPr>
          <w:b w:val="0"/>
          <w:sz w:val="28"/>
          <w:szCs w:val="28"/>
        </w:rPr>
        <w:t>.</w:t>
      </w:r>
    </w:p>
    <w:p w:rsidR="00460F02" w:rsidRPr="00C34B50" w:rsidRDefault="00460F02" w:rsidP="00124FF5">
      <w:pPr>
        <w:pStyle w:val="Virsraksti1"/>
        <w:numPr>
          <w:ilvl w:val="0"/>
          <w:numId w:val="5"/>
        </w:numPr>
        <w:spacing w:after="0"/>
        <w:ind w:left="714" w:hanging="357"/>
        <w:rPr>
          <w:b w:val="0"/>
          <w:sz w:val="28"/>
          <w:szCs w:val="28"/>
        </w:rPr>
      </w:pPr>
      <w:r w:rsidRPr="00C34B50">
        <w:rPr>
          <w:b w:val="0"/>
          <w:sz w:val="28"/>
          <w:szCs w:val="28"/>
        </w:rPr>
        <w:t xml:space="preserve">Ilgtspējīgas veselības aprūpes finanšu sistēmas izveide, tās </w:t>
      </w:r>
      <w:proofErr w:type="spellStart"/>
      <w:r w:rsidRPr="00C34B50">
        <w:rPr>
          <w:b w:val="0"/>
          <w:sz w:val="28"/>
          <w:szCs w:val="28"/>
        </w:rPr>
        <w:t>paredzamība</w:t>
      </w:r>
      <w:proofErr w:type="spellEnd"/>
      <w:r w:rsidRPr="00C34B50">
        <w:rPr>
          <w:b w:val="0"/>
          <w:sz w:val="28"/>
          <w:szCs w:val="28"/>
        </w:rPr>
        <w:t xml:space="preserve"> un stabilitāte.</w:t>
      </w:r>
    </w:p>
    <w:p w:rsidR="00124FF5" w:rsidRDefault="00124FF5" w:rsidP="00124FF5">
      <w:pPr>
        <w:pStyle w:val="naisf"/>
        <w:spacing w:before="120" w:beforeAutospacing="0" w:after="0" w:afterAutospacing="0"/>
        <w:ind w:firstLine="720"/>
        <w:jc w:val="both"/>
        <w:rPr>
          <w:bCs/>
          <w:color w:val="000000"/>
          <w:sz w:val="28"/>
          <w:szCs w:val="28"/>
        </w:rPr>
      </w:pPr>
    </w:p>
    <w:p w:rsidR="000926AB" w:rsidRPr="000D4A12" w:rsidRDefault="000926AB" w:rsidP="00124FF5">
      <w:pPr>
        <w:pStyle w:val="naisf"/>
        <w:spacing w:before="120" w:beforeAutospacing="0" w:after="0" w:afterAutospacing="0"/>
        <w:ind w:firstLine="720"/>
        <w:jc w:val="both"/>
        <w:rPr>
          <w:bCs/>
          <w:color w:val="000000"/>
          <w:sz w:val="28"/>
          <w:szCs w:val="28"/>
        </w:rPr>
      </w:pPr>
      <w:r w:rsidRPr="000D4A12">
        <w:rPr>
          <w:bCs/>
          <w:color w:val="000000"/>
          <w:sz w:val="28"/>
          <w:szCs w:val="28"/>
        </w:rPr>
        <w:t>Veselības ministrija piedāvā divus risinājuma modeļus:</w:t>
      </w:r>
    </w:p>
    <w:p w:rsidR="00460F02" w:rsidRPr="00460F02" w:rsidRDefault="000926AB" w:rsidP="00124FF5">
      <w:pPr>
        <w:pStyle w:val="BodyText"/>
        <w:numPr>
          <w:ilvl w:val="0"/>
          <w:numId w:val="8"/>
        </w:numPr>
        <w:spacing w:after="0"/>
        <w:ind w:left="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Modelis Nr.1 – </w:t>
      </w:r>
      <w:r w:rsidR="00460F02" w:rsidRPr="00C34B50">
        <w:rPr>
          <w:rFonts w:ascii="Times New Roman" w:hAnsi="Times New Roman"/>
          <w:sz w:val="28"/>
          <w:szCs w:val="28"/>
          <w:lang w:bidi="lo-LA"/>
        </w:rPr>
        <w:t>paredz saglabāt esošo no valsts budžeta dotācijas no vispārējiem ieņēmumiem finansētu veselības aprūpes sistēmu, sasaistot tiesības uz veselības aprūpi ar nodokļu aprēķināšanas faktu.  Tiks vērtēts tikai nodokļu aprēķināšanas fakts, neskatoties uz nodokļu maksājumu apmēru, jo nav svarīgs nomaksātā nodokļa apmērs</w:t>
      </w:r>
      <w:r w:rsidR="00460F02">
        <w:rPr>
          <w:rFonts w:ascii="Times New Roman" w:hAnsi="Times New Roman"/>
          <w:sz w:val="28"/>
          <w:szCs w:val="28"/>
          <w:lang w:bidi="lo-LA"/>
        </w:rPr>
        <w:t>, bet gan tikai tā aprēķināšana:</w:t>
      </w:r>
    </w:p>
    <w:p w:rsidR="000D4A12" w:rsidRDefault="00460F02" w:rsidP="00124FF5">
      <w:pPr>
        <w:pStyle w:val="BodyText"/>
        <w:numPr>
          <w:ilvl w:val="1"/>
          <w:numId w:val="15"/>
        </w:numPr>
        <w:spacing w:after="0"/>
        <w:ind w:left="1418" w:hanging="709"/>
        <w:jc w:val="both"/>
        <w:rPr>
          <w:rFonts w:ascii="Times New Roman" w:eastAsia="Calibri" w:hAnsi="Times New Roman"/>
          <w:bCs/>
          <w:sz w:val="28"/>
          <w:szCs w:val="28"/>
          <w:lang w:eastAsia="en-US"/>
        </w:rPr>
      </w:pPr>
      <w:bookmarkStart w:id="0" w:name="_Toc339464190"/>
      <w:r w:rsidRPr="000D4A12">
        <w:rPr>
          <w:rFonts w:ascii="Times New Roman" w:eastAsia="Calibri" w:hAnsi="Times New Roman"/>
          <w:bCs/>
          <w:sz w:val="28"/>
          <w:szCs w:val="28"/>
          <w:lang w:eastAsia="en-US"/>
        </w:rPr>
        <w:t>A</w:t>
      </w:r>
      <w:r w:rsidR="000D4A12">
        <w:rPr>
          <w:rFonts w:ascii="Times New Roman" w:eastAsia="Calibri" w:hAnsi="Times New Roman"/>
          <w:bCs/>
          <w:sz w:val="28"/>
          <w:szCs w:val="28"/>
          <w:lang w:eastAsia="en-US"/>
        </w:rPr>
        <w:t xml:space="preserve"> </w:t>
      </w:r>
      <w:r w:rsidRPr="000D4A12">
        <w:rPr>
          <w:rFonts w:ascii="Times New Roman" w:eastAsia="Calibri" w:hAnsi="Times New Roman"/>
          <w:bCs/>
          <w:sz w:val="28"/>
          <w:szCs w:val="28"/>
          <w:lang w:eastAsia="en-US"/>
        </w:rPr>
        <w:t>variants. Plānveida veselības aprūpes pakalpojumu saņemšanas iespēja tiek sasaistīta ar faktu, vai par personas gūtajiem ienākumiem ir aprēķināts IIN.</w:t>
      </w:r>
      <w:bookmarkEnd w:id="0"/>
      <w:r w:rsidRPr="000D4A12">
        <w:rPr>
          <w:rFonts w:ascii="Times New Roman" w:eastAsia="Calibri" w:hAnsi="Times New Roman"/>
          <w:bCs/>
          <w:sz w:val="28"/>
          <w:szCs w:val="28"/>
          <w:lang w:eastAsia="en-US"/>
        </w:rPr>
        <w:t xml:space="preserve"> </w:t>
      </w:r>
    </w:p>
    <w:p w:rsidR="00460F02" w:rsidRPr="000D4A12" w:rsidRDefault="00460F02" w:rsidP="00124FF5">
      <w:pPr>
        <w:pStyle w:val="BodyText"/>
        <w:numPr>
          <w:ilvl w:val="1"/>
          <w:numId w:val="15"/>
        </w:numPr>
        <w:spacing w:after="0"/>
        <w:ind w:left="1418" w:hanging="709"/>
        <w:jc w:val="both"/>
        <w:rPr>
          <w:rFonts w:ascii="Times New Roman" w:eastAsia="Calibri" w:hAnsi="Times New Roman"/>
          <w:bCs/>
          <w:sz w:val="28"/>
          <w:szCs w:val="28"/>
          <w:lang w:eastAsia="en-US"/>
        </w:rPr>
      </w:pPr>
      <w:r w:rsidRPr="000D4A12">
        <w:rPr>
          <w:rFonts w:ascii="Times New Roman" w:eastAsia="Calibri" w:hAnsi="Times New Roman"/>
          <w:bCs/>
          <w:sz w:val="28"/>
          <w:szCs w:val="28"/>
          <w:lang w:eastAsia="en-US"/>
        </w:rPr>
        <w:t>B variants. Plānveida veselības aprūpes pakalpojumu saņemšanas iespēja tiek sasaistīta ar faktu, vai par personas gūtajiem ieņēmumiem ir aprēķināts VSAOI.</w:t>
      </w:r>
    </w:p>
    <w:p w:rsidR="000D4A12" w:rsidRDefault="000926AB" w:rsidP="00124FF5">
      <w:pPr>
        <w:pStyle w:val="BodyText"/>
        <w:numPr>
          <w:ilvl w:val="0"/>
          <w:numId w:val="15"/>
        </w:numPr>
        <w:spacing w:after="0"/>
        <w:ind w:left="709" w:hanging="425"/>
        <w:jc w:val="both"/>
        <w:rPr>
          <w:rFonts w:ascii="Times New Roman" w:eastAsia="Calibri" w:hAnsi="Times New Roman"/>
          <w:bCs/>
          <w:sz w:val="28"/>
          <w:szCs w:val="28"/>
          <w:lang w:eastAsia="en-US"/>
        </w:rPr>
      </w:pPr>
      <w:r w:rsidRPr="000D4A12">
        <w:rPr>
          <w:rFonts w:ascii="Times New Roman" w:eastAsia="Calibri" w:hAnsi="Times New Roman"/>
          <w:bCs/>
          <w:sz w:val="28"/>
          <w:szCs w:val="28"/>
          <w:lang w:eastAsia="en-US"/>
        </w:rPr>
        <w:t>Modelis Nr.2 –</w:t>
      </w:r>
      <w:r w:rsidR="000D4A12">
        <w:rPr>
          <w:rFonts w:ascii="Times New Roman" w:eastAsia="Calibri" w:hAnsi="Times New Roman"/>
          <w:bCs/>
          <w:sz w:val="28"/>
          <w:szCs w:val="28"/>
          <w:lang w:eastAsia="en-US"/>
        </w:rPr>
        <w:t xml:space="preserve"> </w:t>
      </w:r>
      <w:r w:rsidR="000D4A12" w:rsidRPr="000D4A12">
        <w:rPr>
          <w:rFonts w:ascii="Times New Roman" w:eastAsia="Calibri" w:hAnsi="Times New Roman"/>
          <w:bCs/>
          <w:sz w:val="28"/>
          <w:szCs w:val="28"/>
          <w:lang w:eastAsia="en-US"/>
        </w:rPr>
        <w:t xml:space="preserve">paredz  ieviest valsts veselības obligāto apdrošināšanu </w:t>
      </w:r>
      <w:r w:rsidR="000D4A12" w:rsidRPr="000D4A12">
        <w:rPr>
          <w:rFonts w:ascii="Times New Roman" w:hAnsi="Times New Roman"/>
          <w:sz w:val="28"/>
          <w:szCs w:val="28"/>
          <w:lang w:bidi="lo-LA"/>
        </w:rPr>
        <w:t>ar valsts veselības</w:t>
      </w:r>
      <w:r w:rsidR="000D4A12">
        <w:rPr>
          <w:rFonts w:ascii="Times New Roman" w:hAnsi="Times New Roman"/>
          <w:sz w:val="28"/>
          <w:szCs w:val="28"/>
          <w:lang w:bidi="lo-LA"/>
        </w:rPr>
        <w:t xml:space="preserve"> apdrošināšanas obligātajām iemaksām </w:t>
      </w:r>
      <w:r w:rsidR="000D4A12" w:rsidRPr="000D4A12">
        <w:rPr>
          <w:rFonts w:ascii="Times New Roman" w:hAnsi="Times New Roman"/>
          <w:sz w:val="28"/>
          <w:szCs w:val="28"/>
          <w:lang w:bidi="lo-LA"/>
        </w:rPr>
        <w:t xml:space="preserve">3.65 procentpunktu apmērā, </w:t>
      </w:r>
      <w:r w:rsidR="000D4A12" w:rsidRPr="000D4A12">
        <w:rPr>
          <w:rFonts w:ascii="Times New Roman" w:hAnsi="Times New Roman"/>
          <w:sz w:val="28"/>
          <w:szCs w:val="28"/>
        </w:rPr>
        <w:t xml:space="preserve">nodalot tās 4 </w:t>
      </w:r>
      <w:r w:rsidR="000D4A12" w:rsidRPr="000D4A12">
        <w:rPr>
          <w:rFonts w:ascii="Times New Roman" w:hAnsi="Times New Roman"/>
          <w:sz w:val="28"/>
          <w:szCs w:val="28"/>
          <w:lang w:eastAsia="en-US"/>
        </w:rPr>
        <w:t>procentpunktu</w:t>
      </w:r>
      <w:r w:rsidR="000D4A12" w:rsidRPr="000D4A12">
        <w:rPr>
          <w:rFonts w:ascii="Times New Roman" w:hAnsi="Times New Roman"/>
          <w:sz w:val="28"/>
          <w:szCs w:val="28"/>
        </w:rPr>
        <w:t xml:space="preserve"> apmērā no spēkā esošās IIN likmes</w:t>
      </w:r>
      <w:r w:rsidR="000D4A12" w:rsidRPr="000D4A12">
        <w:rPr>
          <w:rFonts w:ascii="Times New Roman" w:eastAsia="Calibri" w:hAnsi="Times New Roman"/>
          <w:bCs/>
          <w:sz w:val="28"/>
          <w:szCs w:val="28"/>
          <w:lang w:eastAsia="en-US"/>
        </w:rPr>
        <w:t>, tādējādi fiziskas personas tiesības saņemt no valsts apmaksātus veselības aprūpes pakalpojumus sasaistot ar valsts veselības apdrošināšanas obligāto iemaksu nomaksu</w:t>
      </w:r>
      <w:r w:rsidR="00AB1E83">
        <w:rPr>
          <w:rFonts w:ascii="Times New Roman" w:eastAsia="Calibri" w:hAnsi="Times New Roman"/>
          <w:bCs/>
          <w:sz w:val="28"/>
          <w:szCs w:val="28"/>
          <w:lang w:eastAsia="en-US"/>
        </w:rPr>
        <w:t xml:space="preserve"> </w:t>
      </w:r>
      <w:r w:rsidR="00AB1E83">
        <w:rPr>
          <w:rFonts w:ascii="Times New Roman" w:hAnsi="Times New Roman"/>
          <w:sz w:val="28"/>
          <w:szCs w:val="28"/>
        </w:rPr>
        <w:t>vai paziņošanu par aprēķināšanu</w:t>
      </w:r>
      <w:r w:rsidR="000D4A12">
        <w:rPr>
          <w:rFonts w:ascii="Times New Roman" w:eastAsia="Calibri" w:hAnsi="Times New Roman"/>
          <w:bCs/>
          <w:sz w:val="28"/>
          <w:szCs w:val="28"/>
          <w:lang w:eastAsia="en-US"/>
        </w:rPr>
        <w:t>.</w:t>
      </w:r>
    </w:p>
    <w:p w:rsidR="000D4A12" w:rsidRPr="000D4A12" w:rsidRDefault="000D4A12" w:rsidP="000D4A12">
      <w:pPr>
        <w:pStyle w:val="BodyText"/>
        <w:spacing w:before="0" w:after="0"/>
        <w:ind w:left="1134"/>
        <w:jc w:val="both"/>
        <w:rPr>
          <w:rFonts w:ascii="Times New Roman" w:eastAsia="Calibri" w:hAnsi="Times New Roman"/>
          <w:bCs/>
          <w:sz w:val="28"/>
          <w:szCs w:val="28"/>
          <w:lang w:eastAsia="en-US"/>
        </w:rPr>
      </w:pPr>
    </w:p>
    <w:p w:rsidR="00BC5EE0" w:rsidRPr="000D4A12" w:rsidRDefault="00BC5EE0" w:rsidP="000D4A12">
      <w:pPr>
        <w:pStyle w:val="naisf"/>
        <w:spacing w:before="0" w:beforeAutospacing="0" w:after="0" w:afterAutospacing="0"/>
        <w:ind w:firstLine="720"/>
        <w:jc w:val="both"/>
        <w:rPr>
          <w:bCs/>
          <w:color w:val="000000"/>
          <w:sz w:val="28"/>
          <w:szCs w:val="28"/>
        </w:rPr>
      </w:pPr>
      <w:r w:rsidRPr="000D4A12">
        <w:rPr>
          <w:bCs/>
          <w:color w:val="000000"/>
          <w:sz w:val="28"/>
          <w:szCs w:val="28"/>
        </w:rPr>
        <w:t>Abu modeļa realizācijai un veselības aprūpes pakalpojumu pieejamības palielināšanai ir nepieciešams papildus finansējums, pakāpeniski sasniedzot veselības aprūpes valsts budžetu 4,5% apmērā no IKP (pēc VRP 2014.gadā), vēlākais līdz 2020.gadam</w:t>
      </w:r>
      <w:r w:rsidR="00DD30C8" w:rsidRPr="000D4A12">
        <w:rPr>
          <w:bCs/>
          <w:color w:val="000000"/>
          <w:sz w:val="28"/>
          <w:szCs w:val="28"/>
        </w:rPr>
        <w:t>, a</w:t>
      </w:r>
      <w:r w:rsidRPr="000D4A12">
        <w:rPr>
          <w:bCs/>
          <w:color w:val="000000"/>
          <w:sz w:val="28"/>
          <w:szCs w:val="28"/>
        </w:rPr>
        <w:t>ttiecīgi 2020.gadā plānotais finansējums veselības aprūpei ir 1</w:t>
      </w:r>
      <w:r w:rsidR="000D4A12">
        <w:rPr>
          <w:bCs/>
          <w:color w:val="000000"/>
          <w:sz w:val="28"/>
          <w:szCs w:val="28"/>
        </w:rPr>
        <w:t> 083,3</w:t>
      </w:r>
      <w:r w:rsidRPr="000D4A12">
        <w:rPr>
          <w:bCs/>
          <w:color w:val="000000"/>
          <w:sz w:val="28"/>
          <w:szCs w:val="28"/>
        </w:rPr>
        <w:t> </w:t>
      </w:r>
      <w:proofErr w:type="spellStart"/>
      <w:r w:rsidRPr="000D4A12">
        <w:rPr>
          <w:bCs/>
          <w:color w:val="000000"/>
          <w:sz w:val="28"/>
          <w:szCs w:val="28"/>
        </w:rPr>
        <w:t>milj.LVL</w:t>
      </w:r>
      <w:proofErr w:type="spellEnd"/>
      <w:r w:rsidRPr="000D4A12">
        <w:rPr>
          <w:bCs/>
          <w:color w:val="000000"/>
          <w:sz w:val="28"/>
          <w:szCs w:val="28"/>
        </w:rPr>
        <w:t xml:space="preserve"> jeb 4,5%. Ne</w:t>
      </w:r>
      <w:r w:rsidR="00DD30C8" w:rsidRPr="000D4A12">
        <w:rPr>
          <w:bCs/>
          <w:color w:val="000000"/>
          <w:sz w:val="28"/>
          <w:szCs w:val="28"/>
        </w:rPr>
        <w:t>pieciešamā finansējuma pieaugums pa gadiem redzams tabulā „Prognoze par IKP un valsts budžeta līdzekļu ”</w:t>
      </w:r>
      <w:r w:rsidR="00124FF5">
        <w:rPr>
          <w:bCs/>
          <w:color w:val="000000"/>
          <w:sz w:val="28"/>
          <w:szCs w:val="28"/>
        </w:rPr>
        <w:t>.</w:t>
      </w:r>
    </w:p>
    <w:p w:rsidR="00DD30C8" w:rsidRDefault="00DD30C8" w:rsidP="00BC5EE0">
      <w:pPr>
        <w:pStyle w:val="Virsraksti1"/>
        <w:numPr>
          <w:ilvl w:val="0"/>
          <w:numId w:val="0"/>
        </w:numPr>
        <w:spacing w:after="0" w:line="22" w:lineRule="atLeast"/>
        <w:ind w:firstLine="720"/>
        <w:rPr>
          <w:rFonts w:cs="Times New Roman"/>
          <w:b w:val="0"/>
          <w:sz w:val="28"/>
          <w:szCs w:val="28"/>
          <w:lang w:bidi="ar-SA"/>
        </w:rPr>
      </w:pPr>
    </w:p>
    <w:p w:rsidR="00124FF5" w:rsidRDefault="00124FF5" w:rsidP="00BC5EE0">
      <w:pPr>
        <w:pStyle w:val="Virsraksti1"/>
        <w:numPr>
          <w:ilvl w:val="0"/>
          <w:numId w:val="0"/>
        </w:numPr>
        <w:spacing w:after="0" w:line="22" w:lineRule="atLeast"/>
        <w:ind w:firstLine="720"/>
        <w:rPr>
          <w:rFonts w:cs="Times New Roman"/>
          <w:b w:val="0"/>
          <w:sz w:val="28"/>
          <w:szCs w:val="28"/>
          <w:lang w:bidi="ar-SA"/>
        </w:rPr>
      </w:pPr>
    </w:p>
    <w:p w:rsidR="00DD30C8" w:rsidRPr="00B66E3D" w:rsidRDefault="00DD30C8" w:rsidP="00DD30C8">
      <w:pPr>
        <w:spacing w:after="0"/>
        <w:jc w:val="center"/>
        <w:rPr>
          <w:rFonts w:ascii="Times New Roman" w:hAnsi="Times New Roman"/>
          <w:b/>
          <w:sz w:val="28"/>
          <w:szCs w:val="28"/>
        </w:rPr>
      </w:pPr>
      <w:r w:rsidRPr="00B66E3D">
        <w:rPr>
          <w:rFonts w:ascii="Times New Roman" w:hAnsi="Times New Roman"/>
          <w:b/>
          <w:sz w:val="28"/>
          <w:szCs w:val="28"/>
        </w:rPr>
        <w:t>Prognoze par IKP un valsts budžeta līdzekļu apmēru veselības aprūpei</w:t>
      </w:r>
      <w:r w:rsidR="00B66E3D">
        <w:rPr>
          <w:rFonts w:ascii="Times New Roman" w:hAnsi="Times New Roman"/>
          <w:b/>
          <w:sz w:val="28"/>
          <w:szCs w:val="28"/>
        </w:rPr>
        <w:t>, milj.LVL</w:t>
      </w:r>
    </w:p>
    <w:tbl>
      <w:tblPr>
        <w:tblStyle w:val="TableGrid"/>
        <w:tblW w:w="10073" w:type="dxa"/>
        <w:tblLook w:val="04A0"/>
      </w:tblPr>
      <w:tblGrid>
        <w:gridCol w:w="1694"/>
        <w:gridCol w:w="931"/>
        <w:gridCol w:w="931"/>
        <w:gridCol w:w="931"/>
        <w:gridCol w:w="931"/>
        <w:gridCol w:w="931"/>
        <w:gridCol w:w="931"/>
        <w:gridCol w:w="931"/>
        <w:gridCol w:w="931"/>
        <w:gridCol w:w="931"/>
      </w:tblGrid>
      <w:tr w:rsidR="00DD30C8" w:rsidRPr="00B66E3D" w:rsidTr="0025321D">
        <w:tc>
          <w:tcPr>
            <w:tcW w:w="1694" w:type="dxa"/>
          </w:tcPr>
          <w:p w:rsidR="00DD30C8" w:rsidRPr="00767C01" w:rsidRDefault="00DD30C8" w:rsidP="007A0724">
            <w:pPr>
              <w:jc w:val="center"/>
              <w:rPr>
                <w:rFonts w:ascii="Times New Roman" w:hAnsi="Times New Roman"/>
                <w:b/>
                <w:sz w:val="22"/>
                <w:szCs w:val="22"/>
                <w:lang w:val="lv-LV"/>
              </w:rPr>
            </w:pP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2012</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2013</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2014</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2015</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2016</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2017</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2018</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2019</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2020</w:t>
            </w:r>
          </w:p>
        </w:tc>
      </w:tr>
      <w:tr w:rsidR="00DD30C8" w:rsidRPr="00B66E3D" w:rsidTr="0025321D">
        <w:tc>
          <w:tcPr>
            <w:tcW w:w="1694" w:type="dxa"/>
          </w:tcPr>
          <w:p w:rsidR="00DD30C8" w:rsidRPr="00B66E3D" w:rsidRDefault="00DD30C8" w:rsidP="007A0724">
            <w:pPr>
              <w:rPr>
                <w:rFonts w:ascii="Times New Roman" w:hAnsi="Times New Roman"/>
                <w:b/>
                <w:sz w:val="22"/>
                <w:szCs w:val="22"/>
              </w:rPr>
            </w:pPr>
            <w:r w:rsidRPr="00B66E3D">
              <w:rPr>
                <w:rFonts w:ascii="Times New Roman" w:hAnsi="Times New Roman"/>
                <w:b/>
                <w:sz w:val="22"/>
                <w:szCs w:val="22"/>
              </w:rPr>
              <w:t>IKP, milj.LVL</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15 108</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15 986</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16 958</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17 989</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19 068</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20 212</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21 425</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22 711</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24 074</w:t>
            </w:r>
          </w:p>
        </w:tc>
      </w:tr>
      <w:tr w:rsidR="00DD30C8" w:rsidRPr="00B66E3D" w:rsidTr="0025321D">
        <w:tc>
          <w:tcPr>
            <w:tcW w:w="1694" w:type="dxa"/>
          </w:tcPr>
          <w:p w:rsidR="00DD30C8" w:rsidRPr="00B66E3D" w:rsidRDefault="00DD30C8" w:rsidP="007A0724">
            <w:pPr>
              <w:jc w:val="right"/>
              <w:rPr>
                <w:rFonts w:ascii="Times New Roman" w:hAnsi="Times New Roman"/>
                <w:i/>
                <w:sz w:val="22"/>
                <w:szCs w:val="22"/>
              </w:rPr>
            </w:pPr>
            <w:proofErr w:type="spellStart"/>
            <w:r w:rsidRPr="00B66E3D">
              <w:rPr>
                <w:rFonts w:ascii="Times New Roman" w:hAnsi="Times New Roman"/>
                <w:i/>
                <w:sz w:val="22"/>
                <w:szCs w:val="22"/>
              </w:rPr>
              <w:t>izmaiņas</w:t>
            </w:r>
            <w:proofErr w:type="spellEnd"/>
            <w:r w:rsidRPr="00B66E3D">
              <w:rPr>
                <w:rFonts w:ascii="Times New Roman" w:hAnsi="Times New Roman"/>
                <w:i/>
                <w:sz w:val="22"/>
                <w:szCs w:val="22"/>
              </w:rPr>
              <w:t>, milj.LVL</w:t>
            </w:r>
          </w:p>
        </w:tc>
        <w:tc>
          <w:tcPr>
            <w:tcW w:w="931" w:type="dxa"/>
          </w:tcPr>
          <w:p w:rsidR="00DD30C8" w:rsidRPr="00B66E3D" w:rsidRDefault="00DD30C8" w:rsidP="007A0724">
            <w:pPr>
              <w:jc w:val="right"/>
              <w:rPr>
                <w:rFonts w:ascii="Times New Roman" w:hAnsi="Times New Roman"/>
                <w:i/>
                <w:sz w:val="22"/>
                <w:szCs w:val="22"/>
              </w:rPr>
            </w:pP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878</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972</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1 031</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1 079</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1 144</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1 213</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1 286</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 xml:space="preserve">1 363 </w:t>
            </w:r>
          </w:p>
        </w:tc>
      </w:tr>
      <w:tr w:rsidR="00DD30C8" w:rsidRPr="00B66E3D" w:rsidTr="0025321D">
        <w:tc>
          <w:tcPr>
            <w:tcW w:w="1694" w:type="dxa"/>
          </w:tcPr>
          <w:p w:rsidR="00DD30C8" w:rsidRPr="00B66E3D" w:rsidRDefault="00DD30C8" w:rsidP="007A0724">
            <w:pPr>
              <w:jc w:val="right"/>
              <w:rPr>
                <w:rFonts w:ascii="Times New Roman" w:hAnsi="Times New Roman"/>
                <w:i/>
                <w:sz w:val="22"/>
                <w:szCs w:val="22"/>
              </w:rPr>
            </w:pPr>
            <w:proofErr w:type="spellStart"/>
            <w:r w:rsidRPr="00B66E3D">
              <w:rPr>
                <w:rFonts w:ascii="Times New Roman" w:hAnsi="Times New Roman"/>
                <w:i/>
                <w:sz w:val="22"/>
                <w:szCs w:val="22"/>
              </w:rPr>
              <w:t>izmaiņas</w:t>
            </w:r>
            <w:proofErr w:type="spellEnd"/>
            <w:r w:rsidRPr="00B66E3D">
              <w:rPr>
                <w:rFonts w:ascii="Times New Roman" w:hAnsi="Times New Roman"/>
                <w:i/>
                <w:sz w:val="22"/>
                <w:szCs w:val="22"/>
              </w:rPr>
              <w:t>, %</w:t>
            </w:r>
          </w:p>
        </w:tc>
        <w:tc>
          <w:tcPr>
            <w:tcW w:w="931" w:type="dxa"/>
          </w:tcPr>
          <w:p w:rsidR="00DD30C8" w:rsidRPr="00B66E3D" w:rsidRDefault="00DD30C8" w:rsidP="007A0724">
            <w:pPr>
              <w:jc w:val="right"/>
              <w:rPr>
                <w:rFonts w:ascii="Times New Roman" w:hAnsi="Times New Roman"/>
                <w:i/>
                <w:sz w:val="22"/>
                <w:szCs w:val="22"/>
              </w:rPr>
            </w:pP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5.8%</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6.1%</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6.1%</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6.0%</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6.0%</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6.0%</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6.0%</w:t>
            </w:r>
          </w:p>
        </w:tc>
        <w:tc>
          <w:tcPr>
            <w:tcW w:w="931" w:type="dxa"/>
          </w:tcPr>
          <w:p w:rsidR="00DD30C8" w:rsidRPr="00B66E3D" w:rsidRDefault="00DD30C8" w:rsidP="007A0724">
            <w:pPr>
              <w:jc w:val="right"/>
              <w:rPr>
                <w:rFonts w:ascii="Times New Roman" w:hAnsi="Times New Roman"/>
                <w:i/>
                <w:sz w:val="22"/>
                <w:szCs w:val="22"/>
              </w:rPr>
            </w:pPr>
            <w:r w:rsidRPr="00B66E3D">
              <w:rPr>
                <w:rFonts w:ascii="Times New Roman" w:hAnsi="Times New Roman"/>
                <w:i/>
                <w:sz w:val="22"/>
                <w:szCs w:val="22"/>
              </w:rPr>
              <w:t>6.0%</w:t>
            </w:r>
          </w:p>
        </w:tc>
      </w:tr>
      <w:tr w:rsidR="00DD30C8" w:rsidRPr="00B66E3D" w:rsidTr="0025321D">
        <w:trPr>
          <w:trHeight w:val="115"/>
        </w:trPr>
        <w:tc>
          <w:tcPr>
            <w:tcW w:w="10073" w:type="dxa"/>
            <w:gridSpan w:val="10"/>
          </w:tcPr>
          <w:p w:rsidR="00DD30C8" w:rsidRPr="00B66E3D" w:rsidRDefault="00DD30C8" w:rsidP="007A0724">
            <w:pPr>
              <w:rPr>
                <w:rFonts w:ascii="Times New Roman" w:hAnsi="Times New Roman"/>
                <w:sz w:val="22"/>
                <w:szCs w:val="22"/>
              </w:rPr>
            </w:pPr>
          </w:p>
        </w:tc>
      </w:tr>
      <w:tr w:rsidR="00DD30C8" w:rsidRPr="00B66E3D" w:rsidTr="0025321D">
        <w:tc>
          <w:tcPr>
            <w:tcW w:w="1694" w:type="dxa"/>
          </w:tcPr>
          <w:p w:rsidR="00DD30C8" w:rsidRPr="00767C01" w:rsidRDefault="00DD30C8" w:rsidP="007A0724">
            <w:pPr>
              <w:rPr>
                <w:rFonts w:ascii="Times New Roman" w:hAnsi="Times New Roman"/>
                <w:b/>
                <w:sz w:val="22"/>
                <w:szCs w:val="22"/>
                <w:lang w:val="lv-LV"/>
              </w:rPr>
            </w:pPr>
            <w:r w:rsidRPr="00767C01">
              <w:rPr>
                <w:rFonts w:ascii="Times New Roman" w:hAnsi="Times New Roman"/>
                <w:b/>
                <w:sz w:val="22"/>
                <w:szCs w:val="22"/>
                <w:lang w:val="lv-LV"/>
              </w:rPr>
              <w:t xml:space="preserve">Valsts budžeta līdzekļi veselības aprūpei, </w:t>
            </w:r>
            <w:proofErr w:type="spellStart"/>
            <w:r w:rsidRPr="00767C01">
              <w:rPr>
                <w:rFonts w:ascii="Times New Roman" w:hAnsi="Times New Roman"/>
                <w:b/>
                <w:sz w:val="22"/>
                <w:szCs w:val="22"/>
                <w:lang w:val="lv-LV"/>
              </w:rPr>
              <w:t>milj.LVL</w:t>
            </w:r>
            <w:proofErr w:type="spellEnd"/>
          </w:p>
        </w:tc>
        <w:tc>
          <w:tcPr>
            <w:tcW w:w="931" w:type="dxa"/>
          </w:tcPr>
          <w:p w:rsidR="00DD30C8" w:rsidRPr="00B66E3D" w:rsidRDefault="000D4A12" w:rsidP="007A0724">
            <w:pPr>
              <w:jc w:val="center"/>
              <w:rPr>
                <w:rFonts w:ascii="Times New Roman" w:hAnsi="Times New Roman"/>
                <w:b/>
                <w:sz w:val="22"/>
                <w:szCs w:val="22"/>
              </w:rPr>
            </w:pPr>
            <w:r>
              <w:rPr>
                <w:rFonts w:ascii="Times New Roman" w:hAnsi="Times New Roman"/>
                <w:b/>
                <w:sz w:val="22"/>
                <w:szCs w:val="22"/>
              </w:rPr>
              <w:t>524,4</w:t>
            </w:r>
          </w:p>
        </w:tc>
        <w:tc>
          <w:tcPr>
            <w:tcW w:w="931" w:type="dxa"/>
          </w:tcPr>
          <w:p w:rsidR="00DD30C8" w:rsidRPr="00B66E3D" w:rsidRDefault="000D4A12" w:rsidP="007A0724">
            <w:pPr>
              <w:jc w:val="center"/>
              <w:rPr>
                <w:rFonts w:ascii="Times New Roman" w:hAnsi="Times New Roman"/>
                <w:b/>
                <w:sz w:val="22"/>
                <w:szCs w:val="22"/>
              </w:rPr>
            </w:pPr>
            <w:r>
              <w:rPr>
                <w:rFonts w:ascii="Times New Roman" w:hAnsi="Times New Roman"/>
                <w:b/>
                <w:sz w:val="22"/>
                <w:szCs w:val="22"/>
              </w:rPr>
              <w:t>500,3</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5</w:t>
            </w:r>
            <w:r w:rsidR="000D4A12">
              <w:rPr>
                <w:rFonts w:ascii="Times New Roman" w:hAnsi="Times New Roman"/>
                <w:b/>
                <w:sz w:val="22"/>
                <w:szCs w:val="22"/>
              </w:rPr>
              <w:t>59,6</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6</w:t>
            </w:r>
            <w:r w:rsidR="000D4A12">
              <w:rPr>
                <w:rFonts w:ascii="Times New Roman" w:hAnsi="Times New Roman"/>
                <w:b/>
                <w:sz w:val="22"/>
                <w:szCs w:val="22"/>
              </w:rPr>
              <w:t>29,6</w:t>
            </w:r>
          </w:p>
        </w:tc>
        <w:tc>
          <w:tcPr>
            <w:tcW w:w="931" w:type="dxa"/>
          </w:tcPr>
          <w:p w:rsidR="00DD30C8" w:rsidRPr="00B66E3D" w:rsidRDefault="000D4A12" w:rsidP="007A0724">
            <w:pPr>
              <w:jc w:val="center"/>
              <w:rPr>
                <w:rFonts w:ascii="Times New Roman" w:hAnsi="Times New Roman"/>
                <w:b/>
                <w:sz w:val="22"/>
                <w:szCs w:val="22"/>
              </w:rPr>
            </w:pPr>
            <w:r>
              <w:rPr>
                <w:rFonts w:ascii="Times New Roman" w:hAnsi="Times New Roman"/>
                <w:b/>
                <w:sz w:val="22"/>
                <w:szCs w:val="22"/>
              </w:rPr>
              <w:t>705,5</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788</w:t>
            </w:r>
            <w:r w:rsidR="000D4A12">
              <w:rPr>
                <w:rFonts w:ascii="Times New Roman" w:hAnsi="Times New Roman"/>
                <w:b/>
                <w:sz w:val="22"/>
                <w:szCs w:val="22"/>
              </w:rPr>
              <w:t>,3</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878</w:t>
            </w:r>
            <w:r w:rsidR="000D4A12">
              <w:rPr>
                <w:rFonts w:ascii="Times New Roman" w:hAnsi="Times New Roman"/>
                <w:b/>
                <w:sz w:val="22"/>
                <w:szCs w:val="22"/>
              </w:rPr>
              <w:t>,4</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97</w:t>
            </w:r>
            <w:r w:rsidR="000D4A12">
              <w:rPr>
                <w:rFonts w:ascii="Times New Roman" w:hAnsi="Times New Roman"/>
                <w:b/>
                <w:sz w:val="22"/>
                <w:szCs w:val="22"/>
              </w:rPr>
              <w:t>6,6</w:t>
            </w:r>
          </w:p>
        </w:tc>
        <w:tc>
          <w:tcPr>
            <w:tcW w:w="931" w:type="dxa"/>
          </w:tcPr>
          <w:p w:rsidR="00DD30C8" w:rsidRPr="00B66E3D" w:rsidRDefault="00DD30C8" w:rsidP="007A0724">
            <w:pPr>
              <w:jc w:val="center"/>
              <w:rPr>
                <w:rFonts w:ascii="Times New Roman" w:hAnsi="Times New Roman"/>
                <w:b/>
                <w:sz w:val="22"/>
                <w:szCs w:val="22"/>
              </w:rPr>
            </w:pPr>
            <w:r w:rsidRPr="00B66E3D">
              <w:rPr>
                <w:rFonts w:ascii="Times New Roman" w:hAnsi="Times New Roman"/>
                <w:b/>
                <w:sz w:val="22"/>
                <w:szCs w:val="22"/>
              </w:rPr>
              <w:t>1</w:t>
            </w:r>
            <w:r w:rsidR="000D4A12">
              <w:rPr>
                <w:rFonts w:ascii="Times New Roman" w:hAnsi="Times New Roman"/>
                <w:b/>
                <w:sz w:val="22"/>
                <w:szCs w:val="22"/>
              </w:rPr>
              <w:t> </w:t>
            </w:r>
            <w:r w:rsidRPr="00B66E3D">
              <w:rPr>
                <w:rFonts w:ascii="Times New Roman" w:hAnsi="Times New Roman"/>
                <w:b/>
                <w:sz w:val="22"/>
                <w:szCs w:val="22"/>
              </w:rPr>
              <w:t>083</w:t>
            </w:r>
            <w:r w:rsidR="000D4A12">
              <w:rPr>
                <w:rFonts w:ascii="Times New Roman" w:hAnsi="Times New Roman"/>
                <w:b/>
                <w:sz w:val="22"/>
                <w:szCs w:val="22"/>
              </w:rPr>
              <w:t>,3</w:t>
            </w:r>
          </w:p>
        </w:tc>
      </w:tr>
      <w:tr w:rsidR="00DD30C8" w:rsidRPr="00B66E3D" w:rsidTr="0025321D">
        <w:tc>
          <w:tcPr>
            <w:tcW w:w="1694" w:type="dxa"/>
          </w:tcPr>
          <w:p w:rsidR="00DD30C8" w:rsidRPr="00B66E3D" w:rsidRDefault="00DD30C8" w:rsidP="007A0724">
            <w:pPr>
              <w:jc w:val="right"/>
              <w:rPr>
                <w:rFonts w:ascii="Times New Roman" w:hAnsi="Times New Roman"/>
                <w:sz w:val="22"/>
                <w:szCs w:val="22"/>
              </w:rPr>
            </w:pPr>
            <w:proofErr w:type="spellStart"/>
            <w:r w:rsidRPr="00B66E3D">
              <w:rPr>
                <w:rFonts w:ascii="Times New Roman" w:hAnsi="Times New Roman"/>
                <w:sz w:val="22"/>
                <w:szCs w:val="22"/>
              </w:rPr>
              <w:lastRenderedPageBreak/>
              <w:t>izmaiņas</w:t>
            </w:r>
            <w:proofErr w:type="spellEnd"/>
            <w:r w:rsidRPr="00B66E3D">
              <w:rPr>
                <w:rFonts w:ascii="Times New Roman" w:hAnsi="Times New Roman"/>
                <w:sz w:val="22"/>
                <w:szCs w:val="22"/>
              </w:rPr>
              <w:t>, milj.LVL</w:t>
            </w:r>
          </w:p>
        </w:tc>
        <w:tc>
          <w:tcPr>
            <w:tcW w:w="931" w:type="dxa"/>
          </w:tcPr>
          <w:p w:rsidR="00DD30C8" w:rsidRPr="00B66E3D" w:rsidRDefault="00DD30C8" w:rsidP="007A0724">
            <w:pPr>
              <w:jc w:val="right"/>
              <w:rPr>
                <w:rFonts w:ascii="Times New Roman" w:hAnsi="Times New Roman"/>
                <w:sz w:val="22"/>
                <w:szCs w:val="22"/>
              </w:rPr>
            </w:pPr>
          </w:p>
        </w:tc>
        <w:tc>
          <w:tcPr>
            <w:tcW w:w="931" w:type="dxa"/>
          </w:tcPr>
          <w:p w:rsidR="00DD30C8" w:rsidRPr="00B66E3D" w:rsidRDefault="00DD30C8" w:rsidP="007A0724">
            <w:pPr>
              <w:jc w:val="right"/>
              <w:rPr>
                <w:rFonts w:ascii="Times New Roman" w:hAnsi="Times New Roman"/>
                <w:sz w:val="22"/>
                <w:szCs w:val="22"/>
              </w:rPr>
            </w:pPr>
          </w:p>
        </w:tc>
        <w:tc>
          <w:tcPr>
            <w:tcW w:w="931" w:type="dxa"/>
          </w:tcPr>
          <w:p w:rsidR="00DD30C8" w:rsidRPr="00B66E3D" w:rsidRDefault="000D4A12" w:rsidP="007A0724">
            <w:pPr>
              <w:jc w:val="right"/>
              <w:rPr>
                <w:rFonts w:ascii="Times New Roman" w:hAnsi="Times New Roman"/>
                <w:sz w:val="22"/>
                <w:szCs w:val="22"/>
              </w:rPr>
            </w:pPr>
            <w:r>
              <w:rPr>
                <w:rFonts w:ascii="Times New Roman" w:hAnsi="Times New Roman"/>
                <w:sz w:val="22"/>
                <w:szCs w:val="22"/>
              </w:rPr>
              <w:t>59,3</w:t>
            </w:r>
          </w:p>
        </w:tc>
        <w:tc>
          <w:tcPr>
            <w:tcW w:w="931" w:type="dxa"/>
          </w:tcPr>
          <w:p w:rsidR="00DD30C8" w:rsidRPr="00B66E3D" w:rsidRDefault="000D4A12" w:rsidP="007A0724">
            <w:pPr>
              <w:jc w:val="right"/>
              <w:rPr>
                <w:rFonts w:ascii="Times New Roman" w:hAnsi="Times New Roman"/>
                <w:sz w:val="22"/>
                <w:szCs w:val="22"/>
              </w:rPr>
            </w:pPr>
            <w:r>
              <w:rPr>
                <w:rFonts w:ascii="Times New Roman" w:hAnsi="Times New Roman"/>
                <w:sz w:val="22"/>
                <w:szCs w:val="22"/>
              </w:rPr>
              <w:t>70,0</w:t>
            </w:r>
          </w:p>
        </w:tc>
        <w:tc>
          <w:tcPr>
            <w:tcW w:w="931" w:type="dxa"/>
          </w:tcPr>
          <w:p w:rsidR="00DD30C8" w:rsidRPr="00B66E3D" w:rsidRDefault="000D4A12" w:rsidP="007A0724">
            <w:pPr>
              <w:jc w:val="right"/>
              <w:rPr>
                <w:rFonts w:ascii="Times New Roman" w:hAnsi="Times New Roman"/>
                <w:sz w:val="22"/>
                <w:szCs w:val="22"/>
              </w:rPr>
            </w:pPr>
            <w:r>
              <w:rPr>
                <w:rFonts w:ascii="Times New Roman" w:hAnsi="Times New Roman"/>
                <w:sz w:val="22"/>
                <w:szCs w:val="22"/>
              </w:rPr>
              <w:t>75,9</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82</w:t>
            </w:r>
            <w:r w:rsidR="000D4A12">
              <w:rPr>
                <w:rFonts w:ascii="Times New Roman" w:hAnsi="Times New Roman"/>
                <w:sz w:val="22"/>
                <w:szCs w:val="22"/>
              </w:rPr>
              <w:t>,8</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90</w:t>
            </w:r>
            <w:r w:rsidR="000D4A12">
              <w:rPr>
                <w:rFonts w:ascii="Times New Roman" w:hAnsi="Times New Roman"/>
                <w:sz w:val="22"/>
                <w:szCs w:val="22"/>
              </w:rPr>
              <w:t>,1</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9</w:t>
            </w:r>
            <w:r w:rsidR="000D4A12">
              <w:rPr>
                <w:rFonts w:ascii="Times New Roman" w:hAnsi="Times New Roman"/>
                <w:sz w:val="22"/>
                <w:szCs w:val="22"/>
              </w:rPr>
              <w:t>8,2</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106</w:t>
            </w:r>
            <w:r w:rsidR="000D4A12">
              <w:rPr>
                <w:rFonts w:ascii="Times New Roman" w:hAnsi="Times New Roman"/>
                <w:sz w:val="22"/>
                <w:szCs w:val="22"/>
              </w:rPr>
              <w:t>,7</w:t>
            </w:r>
          </w:p>
        </w:tc>
      </w:tr>
      <w:tr w:rsidR="00DD30C8" w:rsidRPr="00B66E3D" w:rsidTr="0025321D">
        <w:tc>
          <w:tcPr>
            <w:tcW w:w="1694"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 no IKP</w:t>
            </w:r>
          </w:p>
        </w:tc>
        <w:tc>
          <w:tcPr>
            <w:tcW w:w="931" w:type="dxa"/>
          </w:tcPr>
          <w:p w:rsidR="00DD30C8" w:rsidRPr="00B66E3D" w:rsidRDefault="00DD30C8" w:rsidP="000D4A12">
            <w:pPr>
              <w:jc w:val="right"/>
              <w:rPr>
                <w:rFonts w:ascii="Times New Roman" w:hAnsi="Times New Roman"/>
                <w:sz w:val="22"/>
                <w:szCs w:val="22"/>
              </w:rPr>
            </w:pPr>
            <w:r w:rsidRPr="00B66E3D">
              <w:rPr>
                <w:rFonts w:ascii="Times New Roman" w:hAnsi="Times New Roman"/>
                <w:sz w:val="22"/>
                <w:szCs w:val="22"/>
              </w:rPr>
              <w:t>3.</w:t>
            </w:r>
            <w:r w:rsidR="000D4A12">
              <w:rPr>
                <w:rFonts w:ascii="Times New Roman" w:hAnsi="Times New Roman"/>
                <w:sz w:val="22"/>
                <w:szCs w:val="22"/>
              </w:rPr>
              <w:t>5</w:t>
            </w:r>
            <w:r w:rsidRPr="00B66E3D">
              <w:rPr>
                <w:rFonts w:ascii="Times New Roman" w:hAnsi="Times New Roman"/>
                <w:sz w:val="22"/>
                <w:szCs w:val="22"/>
              </w:rPr>
              <w:t>%</w:t>
            </w:r>
          </w:p>
        </w:tc>
        <w:tc>
          <w:tcPr>
            <w:tcW w:w="931" w:type="dxa"/>
          </w:tcPr>
          <w:p w:rsidR="00DD30C8" w:rsidRPr="00B66E3D" w:rsidRDefault="00DD30C8" w:rsidP="000D4A12">
            <w:pPr>
              <w:jc w:val="right"/>
              <w:rPr>
                <w:rFonts w:ascii="Times New Roman" w:hAnsi="Times New Roman"/>
                <w:sz w:val="22"/>
                <w:szCs w:val="22"/>
              </w:rPr>
            </w:pPr>
            <w:r w:rsidRPr="00B66E3D">
              <w:rPr>
                <w:rFonts w:ascii="Times New Roman" w:hAnsi="Times New Roman"/>
                <w:sz w:val="22"/>
                <w:szCs w:val="22"/>
              </w:rPr>
              <w:t>3.</w:t>
            </w:r>
            <w:r w:rsidR="000D4A12">
              <w:rPr>
                <w:rFonts w:ascii="Times New Roman" w:hAnsi="Times New Roman"/>
                <w:sz w:val="22"/>
                <w:szCs w:val="22"/>
              </w:rPr>
              <w:t>1</w:t>
            </w:r>
            <w:r w:rsidRPr="00B66E3D">
              <w:rPr>
                <w:rFonts w:ascii="Times New Roman" w:hAnsi="Times New Roman"/>
                <w:sz w:val="22"/>
                <w:szCs w:val="22"/>
              </w:rPr>
              <w:t>%</w:t>
            </w:r>
          </w:p>
        </w:tc>
        <w:tc>
          <w:tcPr>
            <w:tcW w:w="931" w:type="dxa"/>
          </w:tcPr>
          <w:p w:rsidR="00DD30C8" w:rsidRPr="00B66E3D" w:rsidRDefault="000D4A12" w:rsidP="007A0724">
            <w:pPr>
              <w:jc w:val="right"/>
              <w:rPr>
                <w:rFonts w:ascii="Times New Roman" w:hAnsi="Times New Roman"/>
                <w:sz w:val="22"/>
                <w:szCs w:val="22"/>
              </w:rPr>
            </w:pPr>
            <w:r>
              <w:rPr>
                <w:rFonts w:ascii="Times New Roman" w:hAnsi="Times New Roman"/>
                <w:sz w:val="22"/>
                <w:szCs w:val="22"/>
              </w:rPr>
              <w:t>3.3</w:t>
            </w:r>
            <w:r w:rsidR="00DD30C8" w:rsidRPr="00B66E3D">
              <w:rPr>
                <w:rFonts w:ascii="Times New Roman" w:hAnsi="Times New Roman"/>
                <w:sz w:val="22"/>
                <w:szCs w:val="22"/>
              </w:rPr>
              <w:t>%</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3.5%</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3.7%</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3.9%</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4.1%</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4.3%</w:t>
            </w:r>
          </w:p>
        </w:tc>
        <w:tc>
          <w:tcPr>
            <w:tcW w:w="931" w:type="dxa"/>
          </w:tcPr>
          <w:p w:rsidR="00DD30C8" w:rsidRPr="00B66E3D" w:rsidRDefault="00DD30C8" w:rsidP="007A0724">
            <w:pPr>
              <w:jc w:val="right"/>
              <w:rPr>
                <w:rFonts w:ascii="Times New Roman" w:hAnsi="Times New Roman"/>
                <w:sz w:val="22"/>
                <w:szCs w:val="22"/>
              </w:rPr>
            </w:pPr>
            <w:r w:rsidRPr="00B66E3D">
              <w:rPr>
                <w:rFonts w:ascii="Times New Roman" w:hAnsi="Times New Roman"/>
                <w:sz w:val="22"/>
                <w:szCs w:val="22"/>
              </w:rPr>
              <w:t>4.5%</w:t>
            </w:r>
          </w:p>
        </w:tc>
      </w:tr>
    </w:tbl>
    <w:p w:rsidR="00DD30C8" w:rsidRDefault="00DD30C8" w:rsidP="00BC5EE0">
      <w:pPr>
        <w:pStyle w:val="Virsraksti1"/>
        <w:numPr>
          <w:ilvl w:val="0"/>
          <w:numId w:val="0"/>
        </w:numPr>
        <w:spacing w:after="0" w:line="22" w:lineRule="atLeast"/>
        <w:ind w:firstLine="720"/>
        <w:rPr>
          <w:rFonts w:cs="Times New Roman"/>
          <w:b w:val="0"/>
          <w:sz w:val="28"/>
          <w:szCs w:val="28"/>
        </w:rPr>
      </w:pPr>
    </w:p>
    <w:p w:rsidR="005174D8" w:rsidRDefault="005174D8" w:rsidP="00BC5EE0">
      <w:pPr>
        <w:pStyle w:val="Virsraksti1"/>
        <w:numPr>
          <w:ilvl w:val="0"/>
          <w:numId w:val="0"/>
        </w:numPr>
        <w:spacing w:after="0" w:line="22" w:lineRule="atLeast"/>
        <w:ind w:firstLine="720"/>
        <w:rPr>
          <w:rFonts w:cs="Times New Roman"/>
          <w:b w:val="0"/>
          <w:sz w:val="28"/>
          <w:szCs w:val="28"/>
        </w:rPr>
      </w:pPr>
    </w:p>
    <w:p w:rsidR="005174D8" w:rsidRDefault="005174D8" w:rsidP="005174D8">
      <w:pPr>
        <w:spacing w:after="0" w:line="240" w:lineRule="auto"/>
        <w:jc w:val="both"/>
        <w:rPr>
          <w:rFonts w:ascii="Times New Roman" w:hAnsi="Times New Roman"/>
          <w:bCs/>
          <w:kern w:val="36"/>
          <w:sz w:val="28"/>
          <w:szCs w:val="28"/>
        </w:rPr>
      </w:pPr>
      <w:r>
        <w:rPr>
          <w:rFonts w:ascii="Times New Roman" w:hAnsi="Times New Roman"/>
          <w:bCs/>
          <w:kern w:val="36"/>
          <w:sz w:val="28"/>
          <w:szCs w:val="28"/>
        </w:rPr>
        <w:t>Veselības ministre</w:t>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r>
      <w:r>
        <w:rPr>
          <w:rFonts w:ascii="Times New Roman" w:hAnsi="Times New Roman"/>
          <w:bCs/>
          <w:kern w:val="36"/>
          <w:sz w:val="28"/>
          <w:szCs w:val="28"/>
        </w:rPr>
        <w:tab/>
        <w:t>I.Circene</w:t>
      </w:r>
    </w:p>
    <w:p w:rsidR="005174D8" w:rsidRDefault="005174D8" w:rsidP="005174D8">
      <w:pPr>
        <w:spacing w:after="0" w:line="240" w:lineRule="auto"/>
        <w:jc w:val="both"/>
        <w:rPr>
          <w:rFonts w:ascii="Times New Roman" w:hAnsi="Times New Roman"/>
          <w:bCs/>
          <w:kern w:val="36"/>
          <w:sz w:val="28"/>
          <w:szCs w:val="28"/>
        </w:rPr>
      </w:pPr>
    </w:p>
    <w:p w:rsidR="005174D8" w:rsidRDefault="005174D8" w:rsidP="005174D8">
      <w:pPr>
        <w:spacing w:after="0" w:line="240" w:lineRule="auto"/>
        <w:jc w:val="both"/>
        <w:rPr>
          <w:rFonts w:ascii="Times New Roman" w:hAnsi="Times New Roman"/>
          <w:bCs/>
          <w:kern w:val="36"/>
          <w:sz w:val="28"/>
          <w:szCs w:val="28"/>
        </w:rPr>
      </w:pPr>
    </w:p>
    <w:p w:rsidR="005174D8" w:rsidRDefault="005174D8" w:rsidP="005174D8">
      <w:pPr>
        <w:spacing w:after="0" w:line="240" w:lineRule="auto"/>
        <w:jc w:val="both"/>
        <w:rPr>
          <w:rFonts w:ascii="Times New Roman" w:hAnsi="Times New Roman"/>
          <w:bCs/>
          <w:kern w:val="36"/>
          <w:sz w:val="28"/>
          <w:szCs w:val="28"/>
        </w:rPr>
      </w:pPr>
    </w:p>
    <w:p w:rsidR="005174D8" w:rsidRPr="00352468" w:rsidRDefault="001760DC" w:rsidP="005174D8">
      <w:pPr>
        <w:spacing w:after="0" w:line="240" w:lineRule="auto"/>
        <w:jc w:val="both"/>
        <w:rPr>
          <w:rFonts w:ascii="Times New Roman" w:hAnsi="Times New Roman"/>
          <w:bCs/>
          <w:kern w:val="36"/>
          <w:sz w:val="24"/>
          <w:szCs w:val="28"/>
        </w:rPr>
      </w:pPr>
      <w:r>
        <w:rPr>
          <w:rFonts w:ascii="Times New Roman" w:hAnsi="Times New Roman"/>
          <w:bCs/>
          <w:kern w:val="36"/>
          <w:sz w:val="24"/>
          <w:szCs w:val="28"/>
        </w:rPr>
        <w:t>11.01.2013 1</w:t>
      </w:r>
      <w:r w:rsidR="000071DA">
        <w:rPr>
          <w:rFonts w:ascii="Times New Roman" w:hAnsi="Times New Roman"/>
          <w:bCs/>
          <w:kern w:val="36"/>
          <w:sz w:val="24"/>
          <w:szCs w:val="28"/>
        </w:rPr>
        <w:t>3</w:t>
      </w:r>
      <w:r>
        <w:rPr>
          <w:rFonts w:ascii="Times New Roman" w:hAnsi="Times New Roman"/>
          <w:bCs/>
          <w:kern w:val="36"/>
          <w:sz w:val="24"/>
          <w:szCs w:val="28"/>
        </w:rPr>
        <w:t>:</w:t>
      </w:r>
      <w:r w:rsidR="000071DA">
        <w:rPr>
          <w:rFonts w:ascii="Times New Roman" w:hAnsi="Times New Roman"/>
          <w:bCs/>
          <w:kern w:val="36"/>
          <w:sz w:val="24"/>
          <w:szCs w:val="28"/>
        </w:rPr>
        <w:t>30</w:t>
      </w:r>
    </w:p>
    <w:p w:rsidR="005174D8" w:rsidRPr="00352468" w:rsidRDefault="005174D8" w:rsidP="005174D8">
      <w:pPr>
        <w:spacing w:after="0" w:line="240" w:lineRule="auto"/>
        <w:jc w:val="both"/>
        <w:rPr>
          <w:rFonts w:ascii="Times New Roman" w:hAnsi="Times New Roman"/>
          <w:bCs/>
          <w:kern w:val="36"/>
          <w:sz w:val="24"/>
          <w:szCs w:val="28"/>
        </w:rPr>
      </w:pPr>
      <w:r w:rsidRPr="00352468">
        <w:rPr>
          <w:rFonts w:ascii="Times New Roman" w:hAnsi="Times New Roman"/>
          <w:bCs/>
          <w:kern w:val="36"/>
          <w:sz w:val="24"/>
          <w:szCs w:val="28"/>
        </w:rPr>
        <w:t>Kristīne Kuļikova</w:t>
      </w:r>
    </w:p>
    <w:p w:rsidR="005174D8" w:rsidRDefault="00197AF4" w:rsidP="005174D8">
      <w:pPr>
        <w:spacing w:after="0" w:line="240" w:lineRule="auto"/>
        <w:jc w:val="both"/>
        <w:rPr>
          <w:rFonts w:ascii="Times New Roman" w:hAnsi="Times New Roman"/>
          <w:bCs/>
          <w:kern w:val="36"/>
          <w:sz w:val="24"/>
          <w:szCs w:val="28"/>
        </w:rPr>
      </w:pPr>
      <w:r>
        <w:rPr>
          <w:rFonts w:ascii="Times New Roman" w:hAnsi="Times New Roman"/>
          <w:bCs/>
          <w:kern w:val="36"/>
          <w:sz w:val="24"/>
          <w:szCs w:val="28"/>
        </w:rPr>
        <w:t>9</w:t>
      </w:r>
      <w:r w:rsidR="001760DC">
        <w:rPr>
          <w:rFonts w:ascii="Times New Roman" w:hAnsi="Times New Roman"/>
          <w:bCs/>
          <w:kern w:val="36"/>
          <w:sz w:val="24"/>
          <w:szCs w:val="28"/>
        </w:rPr>
        <w:t>36</w:t>
      </w:r>
    </w:p>
    <w:p w:rsidR="005174D8" w:rsidRDefault="005174D8" w:rsidP="005174D8">
      <w:pPr>
        <w:spacing w:after="0" w:line="240" w:lineRule="auto"/>
        <w:jc w:val="both"/>
        <w:rPr>
          <w:rFonts w:ascii="Times New Roman" w:hAnsi="Times New Roman"/>
          <w:bCs/>
          <w:kern w:val="36"/>
          <w:sz w:val="24"/>
          <w:szCs w:val="28"/>
        </w:rPr>
      </w:pPr>
      <w:r>
        <w:rPr>
          <w:rFonts w:ascii="Times New Roman" w:hAnsi="Times New Roman"/>
          <w:bCs/>
          <w:kern w:val="36"/>
          <w:sz w:val="24"/>
          <w:szCs w:val="28"/>
        </w:rPr>
        <w:t>tālr. 67876145</w:t>
      </w:r>
    </w:p>
    <w:p w:rsidR="005174D8" w:rsidRPr="005174D8" w:rsidRDefault="005174D8" w:rsidP="005174D8">
      <w:pPr>
        <w:spacing w:after="0" w:line="240" w:lineRule="auto"/>
        <w:jc w:val="both"/>
        <w:rPr>
          <w:rFonts w:ascii="Times New Roman" w:hAnsi="Times New Roman"/>
          <w:bCs/>
          <w:kern w:val="36"/>
          <w:sz w:val="24"/>
          <w:szCs w:val="28"/>
        </w:rPr>
      </w:pPr>
      <w:bookmarkStart w:id="1" w:name="OLE_LINK3"/>
      <w:bookmarkStart w:id="2" w:name="OLE_LINK4"/>
      <w:r>
        <w:rPr>
          <w:rFonts w:ascii="Times New Roman" w:hAnsi="Times New Roman"/>
          <w:bCs/>
          <w:kern w:val="36"/>
          <w:sz w:val="24"/>
          <w:szCs w:val="28"/>
        </w:rPr>
        <w:t>Kristine.Kulikova@vm.gov.lv</w:t>
      </w:r>
      <w:bookmarkEnd w:id="1"/>
      <w:bookmarkEnd w:id="2"/>
    </w:p>
    <w:sectPr w:rsidR="005174D8" w:rsidRPr="005174D8" w:rsidSect="00836BED">
      <w:headerReference w:type="default" r:id="rId8"/>
      <w:footerReference w:type="defaul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E0" w:rsidRDefault="00BC5EE0" w:rsidP="00FD5C9E">
      <w:pPr>
        <w:spacing w:after="0" w:line="240" w:lineRule="auto"/>
      </w:pPr>
      <w:r>
        <w:separator/>
      </w:r>
    </w:p>
  </w:endnote>
  <w:endnote w:type="continuationSeparator" w:id="0">
    <w:p w:rsidR="00BC5EE0" w:rsidRDefault="00BC5EE0" w:rsidP="00FD5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945" w:rsidRPr="00442945" w:rsidRDefault="00442945">
    <w:pPr>
      <w:pStyle w:val="Footer"/>
      <w:rPr>
        <w:rFonts w:ascii="Times New Roman" w:hAnsi="Times New Roman" w:cs="Times New Roman"/>
      </w:rPr>
    </w:pPr>
    <w:r w:rsidRPr="00442945">
      <w:rPr>
        <w:rFonts w:ascii="Times New Roman" w:hAnsi="Times New Roman" w:cs="Times New Roman"/>
      </w:rPr>
      <w:t>VMKo</w:t>
    </w:r>
    <w:r w:rsidR="005174D8">
      <w:rPr>
        <w:rFonts w:ascii="Times New Roman" w:hAnsi="Times New Roman" w:cs="Times New Roman"/>
      </w:rPr>
      <w:t>nckops</w:t>
    </w:r>
    <w:r>
      <w:rPr>
        <w:rFonts w:ascii="Times New Roman" w:hAnsi="Times New Roman" w:cs="Times New Roman"/>
      </w:rPr>
      <w:t>_</w:t>
    </w:r>
    <w:r w:rsidR="00CB65D9">
      <w:rPr>
        <w:rFonts w:ascii="Times New Roman" w:hAnsi="Times New Roman" w:cs="Times New Roman"/>
      </w:rPr>
      <w:t>11</w:t>
    </w:r>
    <w:r w:rsidR="00124FF5">
      <w:rPr>
        <w:rFonts w:ascii="Times New Roman" w:hAnsi="Times New Roman" w:cs="Times New Roman"/>
      </w:rPr>
      <w:t>0113</w:t>
    </w:r>
    <w:r w:rsidR="005174D8">
      <w:rPr>
        <w:rFonts w:ascii="Times New Roman" w:hAnsi="Times New Roman" w:cs="Times New Roman"/>
      </w:rPr>
      <w:t xml:space="preserve">; </w:t>
    </w:r>
    <w:bookmarkStart w:id="3" w:name="OLE_LINK1"/>
    <w:bookmarkStart w:id="4" w:name="OLE_LINK2"/>
    <w:r w:rsidR="005174D8">
      <w:rPr>
        <w:rFonts w:ascii="Times New Roman" w:hAnsi="Times New Roman" w:cs="Times New Roman"/>
      </w:rPr>
      <w:t>Koncepcijas projekts par veselības aprūpes sistēmas finansēšanas modeli KOPSAVILKUMS</w:t>
    </w:r>
    <w:bookmarkEnd w:id="3"/>
    <w:bookmarkEnd w:id="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D9" w:rsidRDefault="00CB65D9">
    <w:pPr>
      <w:pStyle w:val="Footer"/>
    </w:pPr>
    <w:r w:rsidRPr="00442945">
      <w:rPr>
        <w:rFonts w:ascii="Times New Roman" w:hAnsi="Times New Roman" w:cs="Times New Roman"/>
      </w:rPr>
      <w:t>VMKo</w:t>
    </w:r>
    <w:r>
      <w:rPr>
        <w:rFonts w:ascii="Times New Roman" w:hAnsi="Times New Roman" w:cs="Times New Roman"/>
      </w:rPr>
      <w:t>nckops_110113; Koncepcijas projekts par veselības aprūpes sistēmas finansēšanas modeli KOPSAVILKUMS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E0" w:rsidRDefault="00BC5EE0" w:rsidP="00FD5C9E">
      <w:pPr>
        <w:spacing w:after="0" w:line="240" w:lineRule="auto"/>
      </w:pPr>
      <w:r>
        <w:separator/>
      </w:r>
    </w:p>
  </w:footnote>
  <w:footnote w:type="continuationSeparator" w:id="0">
    <w:p w:rsidR="00BC5EE0" w:rsidRDefault="00BC5EE0" w:rsidP="00FD5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5281"/>
      <w:docPartObj>
        <w:docPartGallery w:val="Page Numbers (Top of Page)"/>
        <w:docPartUnique/>
      </w:docPartObj>
    </w:sdtPr>
    <w:sdtContent>
      <w:p w:rsidR="00836BED" w:rsidRDefault="005F7F42">
        <w:pPr>
          <w:pStyle w:val="Header"/>
          <w:jc w:val="center"/>
        </w:pPr>
        <w:fldSimple w:instr=" PAGE   \* MERGEFORMAT ">
          <w:r w:rsidR="00230284">
            <w:rPr>
              <w:noProof/>
            </w:rPr>
            <w:t>5</w:t>
          </w:r>
        </w:fldSimple>
      </w:p>
    </w:sdtContent>
  </w:sdt>
  <w:p w:rsidR="00836BED" w:rsidRDefault="00836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876"/>
    <w:multiLevelType w:val="multilevel"/>
    <w:tmpl w:val="2E9A3CB4"/>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nsid w:val="24407137"/>
    <w:multiLevelType w:val="multilevel"/>
    <w:tmpl w:val="4EA6B0BA"/>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nsid w:val="31F542B2"/>
    <w:multiLevelType w:val="multilevel"/>
    <w:tmpl w:val="CB54F62E"/>
    <w:lvl w:ilvl="0">
      <w:start w:val="1"/>
      <w:numFmt w:val="decimal"/>
      <w:lvlText w:val="%1."/>
      <w:lvlJc w:val="left"/>
      <w:pPr>
        <w:ind w:left="450" w:hanging="450"/>
      </w:pPr>
      <w:rPr>
        <w:rFonts w:eastAsia="Times New Roman" w:hint="default"/>
      </w:rPr>
    </w:lvl>
    <w:lvl w:ilvl="1">
      <w:start w:val="1"/>
      <w:numFmt w:val="decimal"/>
      <w:lvlText w:val="%1.%2."/>
      <w:lvlJc w:val="left"/>
      <w:pPr>
        <w:ind w:left="1800" w:hanging="72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8280" w:hanging="180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800" w:hanging="2160"/>
      </w:pPr>
      <w:rPr>
        <w:rFonts w:eastAsia="Times New Roman" w:hint="default"/>
      </w:rPr>
    </w:lvl>
  </w:abstractNum>
  <w:abstractNum w:abstractNumId="3">
    <w:nsid w:val="3B1C625E"/>
    <w:multiLevelType w:val="hybridMultilevel"/>
    <w:tmpl w:val="508A50E0"/>
    <w:lvl w:ilvl="0" w:tplc="0426000F">
      <w:start w:val="1"/>
      <w:numFmt w:val="decimal"/>
      <w:lvlText w:val="%1."/>
      <w:lvlJc w:val="left"/>
      <w:pPr>
        <w:ind w:left="1080" w:hanging="360"/>
      </w:pPr>
    </w:lvl>
    <w:lvl w:ilvl="1" w:tplc="C93EC90C">
      <w:start w:val="1"/>
      <w:numFmt w:val="decimal"/>
      <w:lvlText w:val="2.%2."/>
      <w:lvlJc w:val="left"/>
      <w:pPr>
        <w:ind w:left="425" w:firstLine="851"/>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4C4C324D"/>
    <w:multiLevelType w:val="hybridMultilevel"/>
    <w:tmpl w:val="DF487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436DF9"/>
    <w:multiLevelType w:val="hybridMultilevel"/>
    <w:tmpl w:val="862CC2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59F014E0"/>
    <w:multiLevelType w:val="hybridMultilevel"/>
    <w:tmpl w:val="CBC49BCC"/>
    <w:lvl w:ilvl="0" w:tplc="0409000F">
      <w:start w:val="1"/>
      <w:numFmt w:val="decimal"/>
      <w:lvlText w:val="%1."/>
      <w:lvlJc w:val="left"/>
      <w:pPr>
        <w:tabs>
          <w:tab w:val="num" w:pos="720"/>
        </w:tabs>
        <w:ind w:left="720" w:hanging="360"/>
      </w:pPr>
      <w:rPr>
        <w:rFonts w:hint="default"/>
      </w:rPr>
    </w:lvl>
    <w:lvl w:ilvl="1" w:tplc="8996EADE">
      <w:start w:val="1"/>
      <w:numFmt w:val="decimal"/>
      <w:lvlText w:val="%2."/>
      <w:lvlJc w:val="left"/>
      <w:pPr>
        <w:tabs>
          <w:tab w:val="num" w:pos="1440"/>
        </w:tabs>
        <w:ind w:left="1440" w:hanging="360"/>
      </w:pPr>
    </w:lvl>
    <w:lvl w:ilvl="2" w:tplc="04260003">
      <w:start w:val="1"/>
      <w:numFmt w:val="bullet"/>
      <w:lvlText w:val="o"/>
      <w:lvlJc w:val="left"/>
      <w:pPr>
        <w:tabs>
          <w:tab w:val="num" w:pos="2160"/>
        </w:tabs>
        <w:ind w:left="2160" w:hanging="360"/>
      </w:pPr>
      <w:rPr>
        <w:rFonts w:ascii="Courier New" w:hAnsi="Courier New" w:cs="Courier New" w:hint="default"/>
      </w:rPr>
    </w:lvl>
    <w:lvl w:ilvl="3" w:tplc="DA46302C" w:tentative="1">
      <w:start w:val="1"/>
      <w:numFmt w:val="decimal"/>
      <w:lvlText w:val="%4."/>
      <w:lvlJc w:val="left"/>
      <w:pPr>
        <w:tabs>
          <w:tab w:val="num" w:pos="2880"/>
        </w:tabs>
        <w:ind w:left="2880" w:hanging="360"/>
      </w:pPr>
    </w:lvl>
    <w:lvl w:ilvl="4" w:tplc="64188A4C" w:tentative="1">
      <w:start w:val="1"/>
      <w:numFmt w:val="decimal"/>
      <w:lvlText w:val="%5."/>
      <w:lvlJc w:val="left"/>
      <w:pPr>
        <w:tabs>
          <w:tab w:val="num" w:pos="3600"/>
        </w:tabs>
        <w:ind w:left="3600" w:hanging="360"/>
      </w:pPr>
    </w:lvl>
    <w:lvl w:ilvl="5" w:tplc="E744D438" w:tentative="1">
      <w:start w:val="1"/>
      <w:numFmt w:val="decimal"/>
      <w:lvlText w:val="%6."/>
      <w:lvlJc w:val="left"/>
      <w:pPr>
        <w:tabs>
          <w:tab w:val="num" w:pos="4320"/>
        </w:tabs>
        <w:ind w:left="4320" w:hanging="360"/>
      </w:pPr>
    </w:lvl>
    <w:lvl w:ilvl="6" w:tplc="FEBCF79A" w:tentative="1">
      <w:start w:val="1"/>
      <w:numFmt w:val="decimal"/>
      <w:lvlText w:val="%7."/>
      <w:lvlJc w:val="left"/>
      <w:pPr>
        <w:tabs>
          <w:tab w:val="num" w:pos="5040"/>
        </w:tabs>
        <w:ind w:left="5040" w:hanging="360"/>
      </w:pPr>
    </w:lvl>
    <w:lvl w:ilvl="7" w:tplc="736C81DE" w:tentative="1">
      <w:start w:val="1"/>
      <w:numFmt w:val="decimal"/>
      <w:lvlText w:val="%8."/>
      <w:lvlJc w:val="left"/>
      <w:pPr>
        <w:tabs>
          <w:tab w:val="num" w:pos="5760"/>
        </w:tabs>
        <w:ind w:left="5760" w:hanging="360"/>
      </w:pPr>
    </w:lvl>
    <w:lvl w:ilvl="8" w:tplc="97344E32" w:tentative="1">
      <w:start w:val="1"/>
      <w:numFmt w:val="decimal"/>
      <w:lvlText w:val="%9."/>
      <w:lvlJc w:val="left"/>
      <w:pPr>
        <w:tabs>
          <w:tab w:val="num" w:pos="6480"/>
        </w:tabs>
        <w:ind w:left="6480" w:hanging="360"/>
      </w:pPr>
    </w:lvl>
  </w:abstractNum>
  <w:abstractNum w:abstractNumId="7">
    <w:nsid w:val="5C742227"/>
    <w:multiLevelType w:val="hybridMultilevel"/>
    <w:tmpl w:val="9C1C8D66"/>
    <w:lvl w:ilvl="0" w:tplc="FCB20114">
      <w:start w:val="1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679C264D"/>
    <w:multiLevelType w:val="multilevel"/>
    <w:tmpl w:val="2E90C7E4"/>
    <w:lvl w:ilvl="0">
      <w:start w:val="1"/>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outline w:val="0"/>
        <w:shadow w:val="0"/>
        <w:emboss w:val="0"/>
        <w:imprint w:val="0"/>
        <w:vanish w:val="0"/>
        <w:sz w:val="32"/>
        <w:vertAlign w:val="base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nsid w:val="6B335F87"/>
    <w:multiLevelType w:val="hybridMultilevel"/>
    <w:tmpl w:val="F0A68FF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0F826D8"/>
    <w:multiLevelType w:val="hybridMultilevel"/>
    <w:tmpl w:val="D2D6FB5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7788762B"/>
    <w:multiLevelType w:val="multilevel"/>
    <w:tmpl w:val="23086222"/>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7E4A40F8"/>
    <w:multiLevelType w:val="multilevel"/>
    <w:tmpl w:val="60F88D6C"/>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4">
    <w:nsid w:val="7F2C7D40"/>
    <w:multiLevelType w:val="multilevel"/>
    <w:tmpl w:val="A7504994"/>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num w:numId="1">
    <w:abstractNumId w:val="9"/>
  </w:num>
  <w:num w:numId="2">
    <w:abstractNumId w:val="4"/>
  </w:num>
  <w:num w:numId="3">
    <w:abstractNumId w:val="11"/>
  </w:num>
  <w:num w:numId="4">
    <w:abstractNumId w:val="10"/>
  </w:num>
  <w:num w:numId="5">
    <w:abstractNumId w:val="6"/>
  </w:num>
  <w:num w:numId="6">
    <w:abstractNumId w:val="13"/>
  </w:num>
  <w:num w:numId="7">
    <w:abstractNumId w:val="5"/>
  </w:num>
  <w:num w:numId="8">
    <w:abstractNumId w:val="3"/>
  </w:num>
  <w:num w:numId="9">
    <w:abstractNumId w:val="9"/>
  </w:num>
  <w:num w:numId="10">
    <w:abstractNumId w:val="7"/>
  </w:num>
  <w:num w:numId="11">
    <w:abstractNumId w:val="2"/>
  </w:num>
  <w:num w:numId="12">
    <w:abstractNumId w:val="12"/>
  </w:num>
  <w:num w:numId="13">
    <w:abstractNumId w:val="1"/>
  </w:num>
  <w:num w:numId="14">
    <w:abstractNumId w:val="0"/>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71AC"/>
    <w:rsid w:val="000071DA"/>
    <w:rsid w:val="00021342"/>
    <w:rsid w:val="00067320"/>
    <w:rsid w:val="000926AB"/>
    <w:rsid w:val="000D4A12"/>
    <w:rsid w:val="000F06EA"/>
    <w:rsid w:val="00124FF5"/>
    <w:rsid w:val="001760DC"/>
    <w:rsid w:val="00181EF8"/>
    <w:rsid w:val="00197AF4"/>
    <w:rsid w:val="001D0C57"/>
    <w:rsid w:val="00230284"/>
    <w:rsid w:val="0025321D"/>
    <w:rsid w:val="002C6A95"/>
    <w:rsid w:val="002E440C"/>
    <w:rsid w:val="00313E6A"/>
    <w:rsid w:val="00321C0B"/>
    <w:rsid w:val="003757FB"/>
    <w:rsid w:val="00380F09"/>
    <w:rsid w:val="003C43A3"/>
    <w:rsid w:val="003C4875"/>
    <w:rsid w:val="00442945"/>
    <w:rsid w:val="00460F02"/>
    <w:rsid w:val="005174D8"/>
    <w:rsid w:val="005B540B"/>
    <w:rsid w:val="005E07A2"/>
    <w:rsid w:val="005F7F42"/>
    <w:rsid w:val="006471AC"/>
    <w:rsid w:val="0066213D"/>
    <w:rsid w:val="00694190"/>
    <w:rsid w:val="006B4901"/>
    <w:rsid w:val="006F4660"/>
    <w:rsid w:val="00712B55"/>
    <w:rsid w:val="00767C01"/>
    <w:rsid w:val="00791883"/>
    <w:rsid w:val="007A5BB3"/>
    <w:rsid w:val="007F2B97"/>
    <w:rsid w:val="00805B22"/>
    <w:rsid w:val="00836BED"/>
    <w:rsid w:val="00907D6D"/>
    <w:rsid w:val="009527D7"/>
    <w:rsid w:val="009927B0"/>
    <w:rsid w:val="00994842"/>
    <w:rsid w:val="009C46C9"/>
    <w:rsid w:val="009E66FE"/>
    <w:rsid w:val="00A03880"/>
    <w:rsid w:val="00A21423"/>
    <w:rsid w:val="00A2418F"/>
    <w:rsid w:val="00A377CE"/>
    <w:rsid w:val="00A842B1"/>
    <w:rsid w:val="00AB1E83"/>
    <w:rsid w:val="00AF5EB9"/>
    <w:rsid w:val="00B26B3F"/>
    <w:rsid w:val="00B66E3D"/>
    <w:rsid w:val="00BC5EE0"/>
    <w:rsid w:val="00C55C69"/>
    <w:rsid w:val="00C93AAE"/>
    <w:rsid w:val="00CB65D9"/>
    <w:rsid w:val="00CD5420"/>
    <w:rsid w:val="00D97D45"/>
    <w:rsid w:val="00DD30C8"/>
    <w:rsid w:val="00E34B62"/>
    <w:rsid w:val="00FB4F68"/>
    <w:rsid w:val="00FD3A41"/>
    <w:rsid w:val="00FD5C9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i">
    <w:name w:val="Statuti"/>
    <w:basedOn w:val="Normal"/>
    <w:rsid w:val="009927B0"/>
    <w:pPr>
      <w:numPr>
        <w:ilvl w:val="3"/>
        <w:numId w:val="1"/>
      </w:numPr>
      <w:spacing w:after="0" w:line="360" w:lineRule="auto"/>
      <w:jc w:val="both"/>
    </w:pPr>
    <w:rPr>
      <w:rFonts w:ascii="Arial Narrow" w:eastAsia="Times New Roman" w:hAnsi="Arial Narrow" w:cs="Times New Roman"/>
      <w:sz w:val="24"/>
      <w:szCs w:val="20"/>
      <w:lang w:eastAsia="lv-LV"/>
    </w:rPr>
  </w:style>
  <w:style w:type="paragraph" w:customStyle="1" w:styleId="Virsraksti4">
    <w:name w:val="Virsraksti4"/>
    <w:basedOn w:val="Normal"/>
    <w:rsid w:val="009927B0"/>
    <w:pPr>
      <w:numPr>
        <w:ilvl w:val="4"/>
        <w:numId w:val="1"/>
      </w:numPr>
      <w:spacing w:before="60" w:after="120" w:line="240" w:lineRule="auto"/>
    </w:pPr>
    <w:rPr>
      <w:rFonts w:ascii="Times New Roman" w:eastAsia="Times New Roman" w:hAnsi="Times New Roman" w:cs="Times New Roman"/>
      <w:sz w:val="24"/>
      <w:szCs w:val="20"/>
      <w:lang w:eastAsia="lv-LV"/>
    </w:rPr>
  </w:style>
  <w:style w:type="paragraph" w:customStyle="1" w:styleId="Virsraksti1">
    <w:name w:val="Virsraksti1"/>
    <w:basedOn w:val="Normal"/>
    <w:rsid w:val="009927B0"/>
    <w:pPr>
      <w:numPr>
        <w:numId w:val="1"/>
      </w:numPr>
      <w:spacing w:before="120" w:after="120" w:line="240" w:lineRule="auto"/>
      <w:jc w:val="both"/>
    </w:pPr>
    <w:rPr>
      <w:rFonts w:ascii="Times New Roman" w:eastAsia="Times New Roman" w:hAnsi="Times New Roman" w:cs="Arial Unicode MS"/>
      <w:b/>
      <w:sz w:val="32"/>
      <w:szCs w:val="24"/>
      <w:lang w:eastAsia="lv-LV" w:bidi="lo-LA"/>
    </w:rPr>
  </w:style>
  <w:style w:type="paragraph" w:customStyle="1" w:styleId="Virsraksti2">
    <w:name w:val="Virsraksti_2"/>
    <w:basedOn w:val="Normal"/>
    <w:rsid w:val="009927B0"/>
    <w:pPr>
      <w:numPr>
        <w:ilvl w:val="1"/>
        <w:numId w:val="1"/>
      </w:numPr>
      <w:tabs>
        <w:tab w:val="num" w:pos="360"/>
      </w:tabs>
      <w:spacing w:before="120" w:after="120" w:line="240" w:lineRule="auto"/>
      <w:ind w:left="0" w:firstLine="720"/>
      <w:jc w:val="both"/>
    </w:pPr>
    <w:rPr>
      <w:rFonts w:ascii="Times New Roman" w:eastAsia="Times New Roman" w:hAnsi="Times New Roman" w:cs="Arial Unicode MS"/>
      <w:b/>
      <w:sz w:val="28"/>
      <w:szCs w:val="24"/>
      <w:lang w:eastAsia="lv-LV" w:bidi="lo-LA"/>
    </w:rPr>
  </w:style>
  <w:style w:type="paragraph" w:customStyle="1" w:styleId="Virsraksti3">
    <w:name w:val="Virsraksti_3"/>
    <w:basedOn w:val="Normal"/>
    <w:rsid w:val="009927B0"/>
    <w:pPr>
      <w:numPr>
        <w:ilvl w:val="2"/>
        <w:numId w:val="1"/>
      </w:numPr>
      <w:spacing w:before="120" w:after="120" w:line="240" w:lineRule="auto"/>
      <w:jc w:val="both"/>
    </w:pPr>
    <w:rPr>
      <w:rFonts w:ascii="Times New Roman Bold" w:eastAsia="Times New Roman" w:hAnsi="Times New Roman Bold" w:cs="Arial Unicode MS"/>
      <w:b/>
      <w:sz w:val="24"/>
      <w:szCs w:val="24"/>
      <w:lang w:eastAsia="lv-LV" w:bidi="lo-LA"/>
    </w:rPr>
  </w:style>
  <w:style w:type="paragraph" w:styleId="Header">
    <w:name w:val="header"/>
    <w:basedOn w:val="Normal"/>
    <w:link w:val="HeaderChar"/>
    <w:uiPriority w:val="99"/>
    <w:unhideWhenUsed/>
    <w:rsid w:val="00FD5C9E"/>
    <w:pPr>
      <w:tabs>
        <w:tab w:val="center" w:pos="4153"/>
        <w:tab w:val="right" w:pos="830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D5C9E"/>
    <w:rPr>
      <w:rFonts w:ascii="Calibri" w:eastAsia="Calibri" w:hAnsi="Calibri" w:cs="Times New Roman"/>
      <w:lang w:val="en-US"/>
    </w:rPr>
  </w:style>
  <w:style w:type="character" w:styleId="FootnoteReference">
    <w:name w:val="footnote reference"/>
    <w:basedOn w:val="DefaultParagraphFont"/>
    <w:uiPriority w:val="99"/>
    <w:semiHidden/>
    <w:rsid w:val="00FD5C9E"/>
    <w:rPr>
      <w:rFonts w:ascii="Times New Roman" w:hAnsi="Times New Roman"/>
      <w:sz w:val="18"/>
      <w:vertAlign w:val="superscript"/>
    </w:rPr>
  </w:style>
  <w:style w:type="paragraph" w:styleId="BodyText">
    <w:name w:val="Body Text"/>
    <w:basedOn w:val="Normal"/>
    <w:link w:val="BodyTextChar"/>
    <w:rsid w:val="007F2B97"/>
    <w:pPr>
      <w:spacing w:before="120" w:after="120" w:line="240" w:lineRule="auto"/>
    </w:pPr>
    <w:rPr>
      <w:rFonts w:ascii="Arial" w:eastAsia="Times New Roman" w:hAnsi="Arial" w:cs="Times New Roman"/>
      <w:sz w:val="20"/>
      <w:szCs w:val="24"/>
      <w:lang w:eastAsia="lv-LV"/>
    </w:rPr>
  </w:style>
  <w:style w:type="character" w:customStyle="1" w:styleId="BodyTextChar">
    <w:name w:val="Body Text Char"/>
    <w:basedOn w:val="DefaultParagraphFont"/>
    <w:link w:val="BodyText"/>
    <w:rsid w:val="007F2B97"/>
    <w:rPr>
      <w:rFonts w:ascii="Arial" w:eastAsia="Times New Roman" w:hAnsi="Arial" w:cs="Times New Roman"/>
      <w:sz w:val="20"/>
      <w:szCs w:val="24"/>
      <w:lang w:eastAsia="lv-LV"/>
    </w:rPr>
  </w:style>
  <w:style w:type="table" w:styleId="TableGrid">
    <w:name w:val="Table Grid"/>
    <w:basedOn w:val="TableNormal"/>
    <w:uiPriority w:val="59"/>
    <w:rsid w:val="00DD30C8"/>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836BE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36BED"/>
  </w:style>
  <w:style w:type="paragraph" w:customStyle="1" w:styleId="naisf">
    <w:name w:val="naisf"/>
    <w:basedOn w:val="Normal"/>
    <w:rsid w:val="00A842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Subhead">
    <w:name w:val="Body Subhead"/>
    <w:basedOn w:val="BodyText"/>
    <w:next w:val="BodyText"/>
    <w:link w:val="BodySubheadChar"/>
    <w:rsid w:val="000D4A12"/>
    <w:rPr>
      <w:color w:val="808080"/>
      <w:sz w:val="24"/>
    </w:rPr>
  </w:style>
  <w:style w:type="character" w:customStyle="1" w:styleId="BodySubheadChar">
    <w:name w:val="Body Subhead Char"/>
    <w:basedOn w:val="BodyTextChar"/>
    <w:link w:val="BodySubhead"/>
    <w:rsid w:val="000D4A12"/>
    <w:rPr>
      <w:color w:val="808080"/>
      <w:sz w:val="24"/>
    </w:rPr>
  </w:style>
  <w:style w:type="paragraph" w:styleId="BalloonText">
    <w:name w:val="Balloon Text"/>
    <w:basedOn w:val="Normal"/>
    <w:link w:val="BalloonTextChar"/>
    <w:uiPriority w:val="99"/>
    <w:semiHidden/>
    <w:unhideWhenUsed/>
    <w:rsid w:val="000D4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CF3A-A0A7-4D1F-BE7A-A2094068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Koncepcijas projekts par veselības aprūpes sistēmas finansēšanas modeli KOPSAVILKUMS</vt:lpstr>
    </vt:vector>
  </TitlesOfParts>
  <Company>VM</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Koncepcijas projekts par veselības aprūpes sistēmas finansēšanas modeli KOPSAVILKUMS</dc:title>
  <dc:subject>Koncepcijas projekta kopsavilkums</dc:subject>
  <dc:creator>Kristīne Kuļikova</dc:creator>
  <dc:description>Budžeta un investīciju departamenta
Finanšu analīzes un investīciju koordinācijas nodaļas
vecākā referente 
Kristīne Kuļikova
tel.67876145
kristine.kulikova@vm.gov.lv</dc:description>
  <cp:lastModifiedBy>Evita Bune</cp:lastModifiedBy>
  <cp:revision>2</cp:revision>
  <cp:lastPrinted>2013-01-02T11:47:00Z</cp:lastPrinted>
  <dcterms:created xsi:type="dcterms:W3CDTF">2013-03-15T07:51:00Z</dcterms:created>
  <dcterms:modified xsi:type="dcterms:W3CDTF">2013-03-15T07:51:00Z</dcterms:modified>
</cp:coreProperties>
</file>